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2370D" w:rsidRDefault="0012370D" w:rsidP="00B308E5">
      <w:pPr>
        <w:autoSpaceDE w:val="0"/>
        <w:autoSpaceDN w:val="0"/>
        <w:adjustRightInd w:val="0"/>
        <w:spacing w:after="0" w:line="240" w:lineRule="auto"/>
        <w:rPr>
          <w:rFonts w:ascii="BookAntiqua-Bold" w:hAnsi="BookAntiqua-Bold" w:cs="BookAntiqua-Bold"/>
          <w:b/>
          <w:bCs/>
          <w:color w:val="4472C5"/>
        </w:rPr>
      </w:pPr>
      <w:bookmarkStart w:id="0" w:name="_GoBack"/>
      <w:bookmarkEnd w:id="0"/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BookAntiqua-Bold" w:hAnsi="BookAntiqua-Bold" w:cs="BookAntiqua-Bold"/>
          <w:b/>
          <w:bCs/>
          <w:color w:val="4472C5"/>
        </w:rPr>
      </w:pPr>
      <w:r>
        <w:rPr>
          <w:rFonts w:ascii="BookAntiqua-Bold" w:hAnsi="BookAntiqua-Bold" w:cs="BookAntiqua-Bold"/>
          <w:b/>
          <w:bCs/>
          <w:color w:val="4472C5"/>
        </w:rPr>
        <w:t>OPŠTINA BIJELO POLJE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BookAntiqua" w:hAnsi="BookAntiqua" w:cs="BookAntiqua"/>
          <w:color w:val="2F5497"/>
          <w:sz w:val="48"/>
          <w:szCs w:val="48"/>
        </w:rPr>
      </w:pPr>
      <w:r>
        <w:rPr>
          <w:rFonts w:ascii="BookAntiqua" w:hAnsi="BookAntiqua" w:cs="BookAntiqua"/>
          <w:color w:val="2F5497"/>
          <w:sz w:val="48"/>
          <w:szCs w:val="48"/>
        </w:rPr>
        <w:t>PROGRAM</w:t>
      </w:r>
      <w:r w:rsidR="00FB6CDA">
        <w:rPr>
          <w:rFonts w:ascii="BookAntiqua" w:hAnsi="BookAntiqua" w:cs="BookAntiqua"/>
          <w:color w:val="2F5497"/>
          <w:sz w:val="48"/>
          <w:szCs w:val="48"/>
        </w:rPr>
        <w:t xml:space="preserve"> </w:t>
      </w:r>
      <w:r>
        <w:rPr>
          <w:rFonts w:ascii="BookAntiqua" w:hAnsi="BookAntiqua" w:cs="BookAntiqua"/>
          <w:color w:val="2F5497"/>
          <w:sz w:val="48"/>
          <w:szCs w:val="48"/>
        </w:rPr>
        <w:t>PRIVREMENIH OBJEKATA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BookAntiqua" w:hAnsi="BookAntiqua" w:cs="BookAntiqua"/>
          <w:color w:val="2F5497"/>
          <w:sz w:val="48"/>
          <w:szCs w:val="48"/>
        </w:rPr>
      </w:pPr>
      <w:r>
        <w:rPr>
          <w:rFonts w:ascii="BookAntiqua" w:hAnsi="BookAntiqua" w:cs="BookAntiqua"/>
          <w:color w:val="2F5497"/>
          <w:sz w:val="48"/>
          <w:szCs w:val="48"/>
        </w:rPr>
        <w:t>NA TERITORIJI OPŠTINE BIJELO POLJE</w:t>
      </w:r>
    </w:p>
    <w:p w:rsidR="007159FD" w:rsidRDefault="007159FD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BookAntiqua" w:hAnsi="BookAntiqua" w:cs="BookAntiqua"/>
          <w:color w:val="2F5497"/>
          <w:sz w:val="48"/>
          <w:szCs w:val="48"/>
        </w:rPr>
      </w:pP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-BoldMT" w:hAnsi="TimesNewRomanPS-BoldMT" w:cs="TimesNewRomanPS-BoldMT"/>
          <w:b/>
          <w:bCs/>
          <w:color w:val="66669A"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color w:val="66669A"/>
          <w:sz w:val="28"/>
          <w:szCs w:val="28"/>
        </w:rPr>
        <w:t>OBRAĐIVAČ: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66669A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66669A"/>
          <w:sz w:val="28"/>
          <w:szCs w:val="28"/>
        </w:rPr>
        <w:t>„EUROPROJEKT“DOO, PODGORICA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BookAntiqua" w:hAnsi="BookAntiqua" w:cs="BookAntiqua"/>
          <w:color w:val="2F5497"/>
          <w:sz w:val="24"/>
          <w:szCs w:val="24"/>
        </w:rPr>
      </w:pPr>
      <w:r>
        <w:rPr>
          <w:rFonts w:ascii="BookAntiqua" w:hAnsi="BookAntiqua" w:cs="BookAntiqua"/>
          <w:color w:val="2F5497"/>
          <w:sz w:val="24"/>
          <w:szCs w:val="24"/>
        </w:rPr>
        <w:t>Novembar, 2018. godine</w:t>
      </w:r>
    </w:p>
    <w:p w:rsidR="007159FD" w:rsidRDefault="007159FD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BookAntiqua" w:hAnsi="BookAntiqua" w:cs="BookAntiqua"/>
          <w:color w:val="2F5497"/>
          <w:sz w:val="24"/>
          <w:szCs w:val="24"/>
        </w:rPr>
      </w:pPr>
    </w:p>
    <w:p w:rsidR="007159FD" w:rsidRDefault="007159FD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BookAntiqua" w:hAnsi="BookAntiqua" w:cs="BookAntiqua"/>
          <w:color w:val="2F5497"/>
          <w:sz w:val="24"/>
          <w:szCs w:val="24"/>
        </w:rPr>
      </w:pPr>
    </w:p>
    <w:p w:rsidR="007159FD" w:rsidRDefault="007159FD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BookAntiqua" w:hAnsi="BookAntiqua" w:cs="BookAntiqua"/>
          <w:color w:val="2F5497"/>
          <w:sz w:val="24"/>
          <w:szCs w:val="24"/>
        </w:rPr>
      </w:pPr>
    </w:p>
    <w:p w:rsidR="007159FD" w:rsidRDefault="007159FD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BookAntiqua" w:hAnsi="BookAntiqua" w:cs="BookAntiqua"/>
          <w:color w:val="2F5497"/>
          <w:sz w:val="24"/>
          <w:szCs w:val="24"/>
        </w:rPr>
      </w:pPr>
    </w:p>
    <w:p w:rsidR="007159FD" w:rsidRDefault="007159FD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BookAntiqua" w:hAnsi="BookAntiqua" w:cs="BookAntiqua"/>
          <w:color w:val="2F5497"/>
          <w:sz w:val="24"/>
          <w:szCs w:val="24"/>
        </w:rPr>
      </w:pP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8"/>
          <w:szCs w:val="28"/>
        </w:rPr>
      </w:pPr>
      <w:r>
        <w:rPr>
          <w:rFonts w:ascii="BookAntiqua" w:hAnsi="BookAntiqua" w:cs="BookAntiqua"/>
          <w:sz w:val="28"/>
          <w:szCs w:val="28"/>
        </w:rPr>
        <w:t>PROGRAM PRIVREMENIH OBJEKATA NA TERITORIJI OPŠTINE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8"/>
          <w:szCs w:val="28"/>
        </w:rPr>
      </w:pPr>
      <w:r>
        <w:rPr>
          <w:rFonts w:ascii="BookAntiqua" w:hAnsi="BookAntiqua" w:cs="BookAntiqua"/>
          <w:sz w:val="28"/>
          <w:szCs w:val="28"/>
        </w:rPr>
        <w:t>BIJELO POLJE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NARUČILAC: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Sekretarijat za stambeno komunalne poslove i saobraćaj Opštine Bijelo Polje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OBRAĐIVAČ: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EUROPROJEKT doo Podgorica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-Italic" w:hAnsi="BookAntiqua-Italic" w:cs="BookAntiqua-Italic"/>
          <w:i/>
          <w:iCs/>
          <w:sz w:val="24"/>
          <w:szCs w:val="24"/>
        </w:rPr>
      </w:pPr>
      <w:r>
        <w:rPr>
          <w:rFonts w:ascii="BookAntiqua-Italic" w:hAnsi="BookAntiqua-Italic" w:cs="BookAntiqua-Italic"/>
          <w:i/>
          <w:iCs/>
          <w:sz w:val="24"/>
          <w:szCs w:val="24"/>
        </w:rPr>
        <w:t>Glavni inženjer: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Arh. Dragutin Dubljević, dipl.ing.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-Italic" w:hAnsi="BookAntiqua-Italic" w:cs="BookAntiqua-Italic"/>
          <w:i/>
          <w:iCs/>
          <w:sz w:val="24"/>
          <w:szCs w:val="24"/>
        </w:rPr>
      </w:pPr>
      <w:r>
        <w:rPr>
          <w:rFonts w:ascii="BookAntiqua-Italic" w:hAnsi="BookAntiqua-Italic" w:cs="BookAntiqua-Italic"/>
          <w:i/>
          <w:iCs/>
          <w:sz w:val="24"/>
          <w:szCs w:val="24"/>
        </w:rPr>
        <w:t>Saradnici: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Aleksandra Knežević, spec.sci.arh.</w:t>
      </w:r>
    </w:p>
    <w:p w:rsidR="007159FD" w:rsidRDefault="007159FD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BookAntiqua" w:hAnsi="BookAntiqua" w:cs="BookAntiqua"/>
          <w:sz w:val="24"/>
          <w:szCs w:val="24"/>
        </w:rPr>
      </w:pPr>
    </w:p>
    <w:p w:rsidR="007159FD" w:rsidRDefault="007159FD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BookAntiqua" w:hAnsi="BookAntiqua" w:cs="BookAntiqua"/>
          <w:sz w:val="24"/>
          <w:szCs w:val="24"/>
        </w:rPr>
      </w:pPr>
    </w:p>
    <w:p w:rsidR="007159FD" w:rsidRDefault="007159FD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BookAntiqua" w:hAnsi="BookAntiqua" w:cs="BookAntiqua"/>
          <w:sz w:val="24"/>
          <w:szCs w:val="24"/>
        </w:rPr>
      </w:pPr>
    </w:p>
    <w:p w:rsidR="007159FD" w:rsidRDefault="007159FD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BookAntiqua" w:hAnsi="BookAntiqua" w:cs="BookAntiqua"/>
          <w:sz w:val="24"/>
          <w:szCs w:val="24"/>
        </w:rPr>
      </w:pPr>
    </w:p>
    <w:p w:rsidR="007159FD" w:rsidRDefault="007159FD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BookAntiqua" w:hAnsi="BookAntiqua" w:cs="BookAntiqua"/>
          <w:sz w:val="24"/>
          <w:szCs w:val="24"/>
        </w:rPr>
      </w:pPr>
    </w:p>
    <w:p w:rsidR="007159FD" w:rsidRDefault="007159FD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BookAntiqua" w:hAnsi="BookAntiqua" w:cs="BookAntiqua"/>
          <w:sz w:val="24"/>
          <w:szCs w:val="24"/>
        </w:rPr>
      </w:pPr>
    </w:p>
    <w:p w:rsidR="007159FD" w:rsidRDefault="007159FD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BookAntiqua" w:hAnsi="BookAntiqua" w:cs="BookAntiqua"/>
          <w:sz w:val="24"/>
          <w:szCs w:val="24"/>
        </w:rPr>
      </w:pPr>
    </w:p>
    <w:p w:rsidR="007159FD" w:rsidRDefault="007159FD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BookAntiqua" w:hAnsi="BookAntiqua" w:cs="BookAntiqua"/>
          <w:sz w:val="24"/>
          <w:szCs w:val="24"/>
        </w:rPr>
      </w:pPr>
    </w:p>
    <w:p w:rsidR="007159FD" w:rsidRDefault="007159FD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BookAntiqua" w:hAnsi="BookAntiqua" w:cs="BookAntiqua"/>
          <w:sz w:val="24"/>
          <w:szCs w:val="24"/>
        </w:rPr>
      </w:pPr>
    </w:p>
    <w:p w:rsidR="007159FD" w:rsidRDefault="007159FD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BookAntiqua" w:hAnsi="BookAntiqua" w:cs="BookAntiqua"/>
          <w:sz w:val="24"/>
          <w:szCs w:val="24"/>
        </w:rPr>
      </w:pPr>
    </w:p>
    <w:p w:rsidR="007159FD" w:rsidRDefault="007159FD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BookAntiqua" w:hAnsi="BookAntiqua" w:cs="BookAntiqua"/>
          <w:sz w:val="24"/>
          <w:szCs w:val="24"/>
        </w:rPr>
      </w:pPr>
    </w:p>
    <w:p w:rsidR="007159FD" w:rsidRDefault="007159FD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BookAntiqua" w:hAnsi="BookAntiqua" w:cs="BookAntiqua"/>
          <w:sz w:val="24"/>
          <w:szCs w:val="24"/>
        </w:rPr>
      </w:pPr>
    </w:p>
    <w:p w:rsidR="007159FD" w:rsidRDefault="007159FD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BookAntiqua" w:hAnsi="BookAntiqua" w:cs="BookAntiqua"/>
          <w:sz w:val="24"/>
          <w:szCs w:val="24"/>
        </w:rPr>
      </w:pPr>
    </w:p>
    <w:p w:rsidR="007159FD" w:rsidRDefault="007159FD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BookAntiqua" w:hAnsi="BookAntiqua" w:cs="BookAntiqua"/>
          <w:sz w:val="24"/>
          <w:szCs w:val="24"/>
        </w:rPr>
      </w:pPr>
    </w:p>
    <w:p w:rsidR="007159FD" w:rsidRDefault="007159FD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BookAntiqua" w:hAnsi="BookAntiqua" w:cs="BookAntiqua"/>
          <w:sz w:val="24"/>
          <w:szCs w:val="24"/>
        </w:rPr>
      </w:pPr>
    </w:p>
    <w:p w:rsidR="007159FD" w:rsidRDefault="007159FD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BookAntiqua" w:hAnsi="BookAntiqua" w:cs="BookAntiqua"/>
          <w:sz w:val="24"/>
          <w:szCs w:val="24"/>
        </w:rPr>
      </w:pPr>
    </w:p>
    <w:p w:rsidR="007159FD" w:rsidRDefault="007159FD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BookAntiqua" w:hAnsi="BookAntiqua" w:cs="BookAntiqua"/>
          <w:sz w:val="24"/>
          <w:szCs w:val="24"/>
        </w:rPr>
      </w:pPr>
    </w:p>
    <w:p w:rsidR="007159FD" w:rsidRDefault="007159FD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BookAntiqua" w:hAnsi="BookAntiqua" w:cs="BookAntiqua"/>
          <w:sz w:val="24"/>
          <w:szCs w:val="24"/>
        </w:rPr>
      </w:pPr>
    </w:p>
    <w:p w:rsidR="007159FD" w:rsidRDefault="007159FD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BookAntiqua" w:hAnsi="BookAntiqua" w:cs="BookAntiqua"/>
          <w:sz w:val="24"/>
          <w:szCs w:val="24"/>
        </w:rPr>
      </w:pPr>
    </w:p>
    <w:p w:rsidR="007159FD" w:rsidRDefault="007159FD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BookAntiqua" w:hAnsi="BookAntiqua" w:cs="BookAntiqua"/>
          <w:sz w:val="24"/>
          <w:szCs w:val="24"/>
        </w:rPr>
      </w:pPr>
    </w:p>
    <w:p w:rsidR="007159FD" w:rsidRDefault="007159FD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BookAntiqua" w:hAnsi="BookAntiqua" w:cs="BookAntiqua"/>
          <w:sz w:val="24"/>
          <w:szCs w:val="24"/>
        </w:rPr>
      </w:pP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-Bold" w:hAnsi="BookAntiqua-Bold" w:cs="BookAntiqua-Bold"/>
          <w:b/>
          <w:bCs/>
          <w:sz w:val="28"/>
          <w:szCs w:val="28"/>
        </w:rPr>
      </w:pPr>
      <w:r>
        <w:rPr>
          <w:rFonts w:ascii="BookAntiqua-Bold" w:hAnsi="BookAntiqua-Bold" w:cs="BookAntiqua-Bold"/>
          <w:b/>
          <w:bCs/>
          <w:sz w:val="28"/>
          <w:szCs w:val="28"/>
        </w:rPr>
        <w:t>SADRŽAJ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</w:rPr>
      </w:pPr>
      <w:r>
        <w:rPr>
          <w:rFonts w:ascii="BookAntiqua" w:hAnsi="BookAntiqua" w:cs="BookAntiqua"/>
        </w:rPr>
        <w:t>Opšta dokumentacija .......….......................................................................................................................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</w:rPr>
      </w:pPr>
      <w:r>
        <w:rPr>
          <w:rFonts w:ascii="BookAntiqua" w:hAnsi="BookAntiqua" w:cs="BookAntiqua"/>
        </w:rPr>
        <w:t>Tekstualni dio ..............................................................................................................................................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</w:rPr>
      </w:pPr>
      <w:r>
        <w:rPr>
          <w:rFonts w:ascii="BookAntiqua" w:hAnsi="BookAntiqua" w:cs="BookAntiqua"/>
        </w:rPr>
        <w:t>1. Osnov za izradu .......................................................................................................................................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</w:rPr>
      </w:pPr>
      <w:r>
        <w:rPr>
          <w:rFonts w:ascii="BookAntiqua" w:hAnsi="BookAntiqua" w:cs="BookAntiqua"/>
        </w:rPr>
        <w:t>2. Opšte odredbe ..........................................................................................................................................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</w:rPr>
      </w:pPr>
      <w:r>
        <w:rPr>
          <w:rFonts w:ascii="BookAntiqua" w:hAnsi="BookAntiqua" w:cs="BookAntiqua"/>
        </w:rPr>
        <w:t>3. Prostorno zoniranje .................................................................................................................................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</w:rPr>
      </w:pPr>
      <w:r>
        <w:rPr>
          <w:rFonts w:ascii="BookAntiqua" w:hAnsi="BookAntiqua" w:cs="BookAntiqua"/>
        </w:rPr>
        <w:t>4. Analiza stanja ........................................................................................................................................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</w:rPr>
      </w:pPr>
      <w:r>
        <w:rPr>
          <w:rFonts w:ascii="BookAntiqua" w:hAnsi="BookAntiqua" w:cs="BookAntiqua"/>
        </w:rPr>
        <w:t>5. Kategorije privremenih objekata prema načinu pričvršćenja za tlo ....................................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</w:rPr>
      </w:pPr>
      <w:r>
        <w:rPr>
          <w:rFonts w:ascii="BookAntiqua" w:hAnsi="BookAntiqua" w:cs="BookAntiqua"/>
        </w:rPr>
        <w:t>5.1. Nepokretni privremeni objekat..........................................................................................................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</w:rPr>
      </w:pPr>
      <w:r>
        <w:rPr>
          <w:rFonts w:ascii="BookAntiqua" w:hAnsi="BookAntiqua" w:cs="BookAntiqua"/>
        </w:rPr>
        <w:t>5.2. Otvorena površina u funkciji privremenog objekta ...................................................................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</w:rPr>
      </w:pPr>
      <w:r>
        <w:rPr>
          <w:rFonts w:ascii="BookAntiqua" w:hAnsi="BookAntiqua" w:cs="BookAntiqua"/>
        </w:rPr>
        <w:t>6. Vrste privremenih objekata prema namjeni ................................................................................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</w:rPr>
      </w:pPr>
      <w:r>
        <w:rPr>
          <w:rFonts w:ascii="BookAntiqua" w:hAnsi="BookAntiqua" w:cs="BookAntiqua"/>
        </w:rPr>
        <w:t>6.1. Privremeni objekti namijenjeni za turizam i ugostiteljstvo ..........................................................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</w:rPr>
      </w:pPr>
      <w:r>
        <w:rPr>
          <w:rFonts w:ascii="BookAntiqua" w:hAnsi="BookAntiqua" w:cs="BookAntiqua"/>
        </w:rPr>
        <w:t>6.1.1. Privremeni ugostiteljski objekat ...........................................................................................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</w:rPr>
      </w:pPr>
      <w:r>
        <w:rPr>
          <w:rFonts w:ascii="BookAntiqua" w:hAnsi="BookAntiqua" w:cs="BookAntiqua"/>
        </w:rPr>
        <w:t>6.2. Objekat za trgovinu i usluge ..........................................................................................................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</w:rPr>
      </w:pPr>
      <w:r>
        <w:rPr>
          <w:rFonts w:ascii="BookAntiqua" w:hAnsi="BookAntiqua" w:cs="BookAntiqua"/>
        </w:rPr>
        <w:t>6.2.1. Objekat za trgovinu i usluge ...........................................................................................................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</w:rPr>
      </w:pPr>
      <w:r>
        <w:rPr>
          <w:rFonts w:ascii="BookAntiqua" w:hAnsi="BookAntiqua" w:cs="BookAntiqua"/>
        </w:rPr>
        <w:t>6.3. Privremeni objekti namijenjeni za sport i rekreaciju .......................................................................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</w:rPr>
      </w:pPr>
      <w:r>
        <w:rPr>
          <w:rFonts w:ascii="BookAntiqua" w:hAnsi="BookAntiqua" w:cs="BookAntiqua"/>
          <w:sz w:val="24"/>
          <w:szCs w:val="24"/>
        </w:rPr>
        <w:t xml:space="preserve">6.3.1. Objekat za iznajmljivanje sportsko-rekreativne opreme </w:t>
      </w:r>
      <w:r>
        <w:rPr>
          <w:rFonts w:ascii="BookAntiqua" w:hAnsi="BookAntiqua" w:cs="BookAntiqua"/>
        </w:rPr>
        <w:t>....................................................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</w:rPr>
      </w:pPr>
      <w:r>
        <w:rPr>
          <w:rFonts w:ascii="BookAntiqua" w:hAnsi="BookAntiqua" w:cs="BookAntiqua"/>
        </w:rPr>
        <w:t>6.4. Privremeni objekat namijenjen za komunalne usluge i infrastrukturu ........................................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</w:rPr>
      </w:pPr>
      <w:r>
        <w:rPr>
          <w:rFonts w:ascii="BookAntiqua" w:hAnsi="BookAntiqua" w:cs="BookAntiqua"/>
          <w:sz w:val="24"/>
          <w:szCs w:val="24"/>
        </w:rPr>
        <w:t xml:space="preserve">6.4.1. Privremeno parkiralište </w:t>
      </w:r>
      <w:r>
        <w:rPr>
          <w:rFonts w:ascii="BookAntiqua" w:hAnsi="BookAntiqua" w:cs="BookAntiqua"/>
        </w:rPr>
        <w:t>..............................................................................................................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</w:rPr>
      </w:pPr>
      <w:r>
        <w:rPr>
          <w:rFonts w:ascii="BookAntiqua" w:hAnsi="BookAntiqua" w:cs="BookAntiqua"/>
        </w:rPr>
        <w:t>6.4.2. Bioprečišćivač .....................................................................................................................................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</w:rPr>
      </w:pPr>
      <w:r>
        <w:rPr>
          <w:rFonts w:ascii="BookAntiqua" w:hAnsi="BookAntiqua" w:cs="BookAntiqua"/>
        </w:rPr>
        <w:t>6.4.3. Fiksna radiokomunikaciona stanica ..............................................................................................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</w:rPr>
      </w:pPr>
      <w:r>
        <w:rPr>
          <w:rFonts w:ascii="BookAntiqua" w:hAnsi="BookAntiqua" w:cs="BookAntiqua"/>
        </w:rPr>
        <w:t>6.4.4. Spoljašnji (outdoor) kabinet .............................................................................................................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</w:rPr>
      </w:pPr>
      <w:r>
        <w:rPr>
          <w:rFonts w:ascii="BookAntiqua" w:hAnsi="BookAntiqua" w:cs="BookAntiqua"/>
        </w:rPr>
        <w:t>6.4.5. Vazdušni vod......................................................................................................................................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</w:rPr>
      </w:pPr>
      <w:r>
        <w:rPr>
          <w:rFonts w:ascii="BookAntiqua" w:hAnsi="BookAntiqua" w:cs="BookAntiqua"/>
        </w:rPr>
        <w:t>7. Smjernice za zaštitu prirode i životne sredine ..................................................................................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</w:rPr>
      </w:pPr>
      <w:r>
        <w:rPr>
          <w:rFonts w:ascii="BookAntiqua" w:hAnsi="BookAntiqua" w:cs="BookAntiqua"/>
        </w:rPr>
        <w:t>8. Urbanističko - tehnički uslovi za postavljanje privremenih objekata u zoni I .............................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</w:rPr>
      </w:pPr>
      <w:r>
        <w:rPr>
          <w:rFonts w:ascii="BookAntiqua" w:hAnsi="BookAntiqua" w:cs="BookAntiqua"/>
        </w:rPr>
        <w:t>9. Urbanističko - tehnički uslovi za postavljanje privremenih objekata u široj zoni I .......................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</w:rPr>
      </w:pPr>
      <w:r>
        <w:rPr>
          <w:rFonts w:ascii="BookAntiqua" w:hAnsi="BookAntiqua" w:cs="BookAntiqua"/>
        </w:rPr>
        <w:t>GRAFIČKI DIO .............................................................................................................................................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BookAntiqua" w:hAnsi="BookAntiqua" w:cs="BookAntiqua"/>
        </w:rPr>
        <w:t>1. Situacija ...............................................................................................................................</w:t>
      </w:r>
    </w:p>
    <w:p w:rsidR="00DB080A" w:rsidRDefault="00DB080A" w:rsidP="00DB080A">
      <w:pPr>
        <w:jc w:val="center"/>
        <w:rPr>
          <w:rFonts w:ascii="BookAntiqua" w:hAnsi="BookAntiqua" w:cs="BookAntiqua"/>
          <w:sz w:val="48"/>
          <w:szCs w:val="48"/>
        </w:rPr>
      </w:pPr>
    </w:p>
    <w:p w:rsidR="007159FD" w:rsidRDefault="007159FD" w:rsidP="00DB080A">
      <w:pPr>
        <w:jc w:val="center"/>
        <w:rPr>
          <w:rFonts w:ascii="BookAntiqua" w:hAnsi="BookAntiqua" w:cs="BookAntiqua"/>
          <w:sz w:val="48"/>
          <w:szCs w:val="48"/>
        </w:rPr>
      </w:pPr>
    </w:p>
    <w:p w:rsidR="007159FD" w:rsidRDefault="007159FD" w:rsidP="00DB080A">
      <w:pPr>
        <w:jc w:val="center"/>
        <w:rPr>
          <w:rFonts w:ascii="BookAntiqua" w:hAnsi="BookAntiqua" w:cs="BookAntiqua"/>
          <w:sz w:val="48"/>
          <w:szCs w:val="48"/>
        </w:rPr>
      </w:pPr>
    </w:p>
    <w:p w:rsidR="007159FD" w:rsidRDefault="007159FD" w:rsidP="00DB080A">
      <w:pPr>
        <w:jc w:val="center"/>
        <w:rPr>
          <w:rFonts w:ascii="BookAntiqua" w:hAnsi="BookAntiqua" w:cs="BookAntiqua"/>
          <w:sz w:val="48"/>
          <w:szCs w:val="48"/>
        </w:rPr>
      </w:pPr>
    </w:p>
    <w:p w:rsidR="007159FD" w:rsidRDefault="007159FD" w:rsidP="00DB080A">
      <w:pPr>
        <w:jc w:val="center"/>
        <w:rPr>
          <w:rFonts w:ascii="BookAntiqua" w:hAnsi="BookAntiqua" w:cs="BookAntiqua"/>
          <w:sz w:val="48"/>
          <w:szCs w:val="48"/>
        </w:rPr>
      </w:pPr>
    </w:p>
    <w:p w:rsidR="007159FD" w:rsidRDefault="007159FD" w:rsidP="00DB080A">
      <w:pPr>
        <w:jc w:val="center"/>
        <w:rPr>
          <w:rFonts w:ascii="BookAntiqua" w:hAnsi="BookAntiqua" w:cs="BookAntiqua"/>
          <w:sz w:val="48"/>
          <w:szCs w:val="48"/>
        </w:rPr>
      </w:pPr>
    </w:p>
    <w:p w:rsidR="007159FD" w:rsidRDefault="007159FD" w:rsidP="00DB080A">
      <w:pPr>
        <w:jc w:val="center"/>
        <w:rPr>
          <w:rFonts w:ascii="BookAntiqua" w:hAnsi="BookAntiqua" w:cs="BookAntiqua"/>
          <w:sz w:val="48"/>
          <w:szCs w:val="48"/>
        </w:rPr>
      </w:pPr>
    </w:p>
    <w:p w:rsidR="004459A8" w:rsidRDefault="00DB080A" w:rsidP="00DB080A">
      <w:pPr>
        <w:jc w:val="center"/>
        <w:rPr>
          <w:rFonts w:ascii="BookAntiqua" w:hAnsi="BookAntiqua" w:cs="BookAntiqua"/>
          <w:sz w:val="48"/>
          <w:szCs w:val="48"/>
        </w:rPr>
      </w:pPr>
      <w:r>
        <w:rPr>
          <w:rFonts w:ascii="BookAntiqua" w:hAnsi="BookAntiqua" w:cs="BookAntiqua"/>
          <w:sz w:val="48"/>
          <w:szCs w:val="48"/>
        </w:rPr>
        <w:lastRenderedPageBreak/>
        <w:t>OPŠTA DOKUMENTACIJA</w:t>
      </w:r>
    </w:p>
    <w:p w:rsidR="00DB080A" w:rsidRDefault="00DB080A" w:rsidP="00DB080A">
      <w:pPr>
        <w:jc w:val="center"/>
        <w:rPr>
          <w:rFonts w:ascii="BookAntiqua" w:hAnsi="BookAntiqua" w:cs="BookAntiqua"/>
          <w:sz w:val="48"/>
          <w:szCs w:val="48"/>
        </w:rPr>
      </w:pPr>
      <w:r w:rsidRPr="00DB080A">
        <w:rPr>
          <w:rFonts w:ascii="BookAntiqua" w:hAnsi="BookAntiqua" w:cs="BookAntiqua"/>
          <w:noProof/>
          <w:sz w:val="48"/>
          <w:szCs w:val="48"/>
        </w:rPr>
        <w:drawing>
          <wp:inline distT="0" distB="0" distL="0" distR="0">
            <wp:extent cx="4524375" cy="606742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606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080A" w:rsidRDefault="00DB080A" w:rsidP="00DB080A">
      <w:pPr>
        <w:jc w:val="center"/>
        <w:rPr>
          <w:rFonts w:ascii="BookAntiqua" w:hAnsi="BookAntiqua" w:cs="BookAntiqua"/>
          <w:sz w:val="48"/>
          <w:szCs w:val="48"/>
        </w:rPr>
      </w:pPr>
      <w:r w:rsidRPr="00DB080A">
        <w:rPr>
          <w:rFonts w:ascii="BookAntiqua" w:hAnsi="BookAntiqua" w:cs="BookAntiqua"/>
          <w:noProof/>
          <w:sz w:val="48"/>
          <w:szCs w:val="48"/>
        </w:rPr>
        <w:lastRenderedPageBreak/>
        <w:drawing>
          <wp:inline distT="0" distB="0" distL="0" distR="0">
            <wp:extent cx="4486275" cy="6457950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645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080A" w:rsidRDefault="00DB080A" w:rsidP="00DB080A">
      <w:pPr>
        <w:jc w:val="center"/>
        <w:rPr>
          <w:rFonts w:ascii="BookAntiqua" w:hAnsi="BookAntiqua" w:cs="BookAntiqua"/>
          <w:sz w:val="48"/>
          <w:szCs w:val="48"/>
        </w:rPr>
      </w:pPr>
      <w:r w:rsidRPr="00DB080A">
        <w:rPr>
          <w:rFonts w:ascii="BookAntiqua" w:hAnsi="BookAntiqua" w:cs="BookAntiqua"/>
          <w:noProof/>
          <w:sz w:val="48"/>
          <w:szCs w:val="48"/>
        </w:rPr>
        <w:lastRenderedPageBreak/>
        <w:drawing>
          <wp:inline distT="0" distB="0" distL="0" distR="0">
            <wp:extent cx="4562475" cy="6248400"/>
            <wp:effectExtent l="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624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080A" w:rsidRDefault="00DB080A" w:rsidP="00DB080A">
      <w:pPr>
        <w:jc w:val="center"/>
        <w:rPr>
          <w:rFonts w:ascii="BookAntiqua" w:hAnsi="BookAntiqua" w:cs="BookAntiqua"/>
          <w:sz w:val="48"/>
          <w:szCs w:val="48"/>
        </w:rPr>
      </w:pPr>
      <w:r w:rsidRPr="00DB080A">
        <w:rPr>
          <w:rFonts w:ascii="BookAntiqua" w:hAnsi="BookAntiqua" w:cs="BookAntiqua"/>
          <w:noProof/>
          <w:sz w:val="48"/>
          <w:szCs w:val="48"/>
        </w:rPr>
        <w:lastRenderedPageBreak/>
        <w:drawing>
          <wp:inline distT="0" distB="0" distL="0" distR="0">
            <wp:extent cx="4562475" cy="6343650"/>
            <wp:effectExtent l="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634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080A" w:rsidRDefault="00DB080A" w:rsidP="00DB080A">
      <w:pPr>
        <w:jc w:val="center"/>
        <w:rPr>
          <w:rFonts w:ascii="BookAntiqua" w:hAnsi="BookAntiqua" w:cs="BookAntiqua"/>
          <w:sz w:val="48"/>
          <w:szCs w:val="48"/>
        </w:rPr>
      </w:pPr>
      <w:r w:rsidRPr="00DB080A">
        <w:rPr>
          <w:rFonts w:ascii="BookAntiqua" w:hAnsi="BookAntiqua" w:cs="BookAntiqua"/>
          <w:noProof/>
          <w:sz w:val="48"/>
          <w:szCs w:val="48"/>
        </w:rPr>
        <w:lastRenderedPageBreak/>
        <w:drawing>
          <wp:inline distT="0" distB="0" distL="0" distR="0">
            <wp:extent cx="4676775" cy="6334125"/>
            <wp:effectExtent l="0" t="0" r="9525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633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080A" w:rsidRDefault="00DB080A" w:rsidP="00DB080A">
      <w:pPr>
        <w:jc w:val="center"/>
        <w:rPr>
          <w:rFonts w:ascii="BookAntiqua" w:hAnsi="BookAntiqua" w:cs="BookAntiqua"/>
          <w:sz w:val="48"/>
          <w:szCs w:val="48"/>
        </w:rPr>
      </w:pPr>
      <w:r w:rsidRPr="00DB080A">
        <w:rPr>
          <w:rFonts w:ascii="BookAntiqua" w:hAnsi="BookAntiqua" w:cs="BookAntiqua"/>
          <w:noProof/>
          <w:sz w:val="48"/>
          <w:szCs w:val="48"/>
        </w:rPr>
        <w:lastRenderedPageBreak/>
        <w:drawing>
          <wp:inline distT="0" distB="0" distL="0" distR="0">
            <wp:extent cx="4600575" cy="6438900"/>
            <wp:effectExtent l="0" t="0" r="952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643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080A" w:rsidRDefault="00DB080A" w:rsidP="00DB080A">
      <w:pPr>
        <w:jc w:val="center"/>
        <w:rPr>
          <w:rFonts w:ascii="BookAntiqua" w:hAnsi="BookAntiqua" w:cs="BookAntiqua"/>
          <w:sz w:val="48"/>
          <w:szCs w:val="48"/>
        </w:rPr>
      </w:pPr>
      <w:r w:rsidRPr="00DB080A">
        <w:rPr>
          <w:rFonts w:ascii="BookAntiqua" w:hAnsi="BookAntiqua" w:cs="BookAntiqua"/>
          <w:noProof/>
          <w:sz w:val="48"/>
          <w:szCs w:val="48"/>
        </w:rPr>
        <w:lastRenderedPageBreak/>
        <w:drawing>
          <wp:inline distT="0" distB="0" distL="0" distR="0">
            <wp:extent cx="3990975" cy="3057525"/>
            <wp:effectExtent l="0" t="0" r="9525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080A" w:rsidRDefault="00DB080A" w:rsidP="00DB080A">
      <w:pPr>
        <w:jc w:val="center"/>
        <w:rPr>
          <w:rFonts w:ascii="BookAntiqua" w:hAnsi="BookAntiqua" w:cs="BookAntiqua"/>
          <w:sz w:val="48"/>
          <w:szCs w:val="48"/>
        </w:rPr>
      </w:pPr>
      <w:r w:rsidRPr="00DB080A">
        <w:rPr>
          <w:rFonts w:ascii="BookAntiqua" w:hAnsi="BookAntiqua" w:cs="BookAntiqua"/>
          <w:noProof/>
          <w:sz w:val="48"/>
          <w:szCs w:val="48"/>
        </w:rPr>
        <w:lastRenderedPageBreak/>
        <w:drawing>
          <wp:inline distT="0" distB="0" distL="0" distR="0">
            <wp:extent cx="4181475" cy="5886450"/>
            <wp:effectExtent l="0" t="0" r="952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588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59FD" w:rsidRDefault="007159FD" w:rsidP="00DB080A">
      <w:pPr>
        <w:jc w:val="center"/>
        <w:rPr>
          <w:rFonts w:ascii="BookAntiqua" w:hAnsi="BookAntiqua" w:cs="BookAntiqua"/>
          <w:sz w:val="48"/>
          <w:szCs w:val="48"/>
        </w:rPr>
      </w:pPr>
    </w:p>
    <w:p w:rsidR="007159FD" w:rsidRDefault="007159FD" w:rsidP="00DB080A">
      <w:pPr>
        <w:jc w:val="center"/>
        <w:rPr>
          <w:rFonts w:ascii="BookAntiqua" w:hAnsi="BookAntiqua" w:cs="BookAntiqua"/>
          <w:sz w:val="48"/>
          <w:szCs w:val="48"/>
        </w:rPr>
      </w:pPr>
    </w:p>
    <w:p w:rsidR="007159FD" w:rsidRDefault="007159FD" w:rsidP="00DB080A">
      <w:pPr>
        <w:jc w:val="center"/>
        <w:rPr>
          <w:rFonts w:ascii="BookAntiqua" w:hAnsi="BookAntiqua" w:cs="BookAntiqua"/>
          <w:sz w:val="48"/>
          <w:szCs w:val="48"/>
        </w:rPr>
      </w:pPr>
    </w:p>
    <w:p w:rsidR="007159FD" w:rsidRDefault="007159FD" w:rsidP="00DB080A">
      <w:pPr>
        <w:jc w:val="center"/>
        <w:rPr>
          <w:rFonts w:ascii="BookAntiqua" w:hAnsi="BookAntiqua" w:cs="BookAntiqua"/>
          <w:sz w:val="48"/>
          <w:szCs w:val="48"/>
        </w:rPr>
      </w:pPr>
    </w:p>
    <w:p w:rsidR="00DB080A" w:rsidRDefault="00DB080A" w:rsidP="00DB080A">
      <w:pPr>
        <w:jc w:val="center"/>
        <w:rPr>
          <w:rFonts w:ascii="BookAntiqua" w:hAnsi="BookAntiqua" w:cs="BookAntiqua"/>
          <w:sz w:val="48"/>
          <w:szCs w:val="48"/>
        </w:rPr>
      </w:pPr>
      <w:r>
        <w:rPr>
          <w:rFonts w:ascii="BookAntiqua" w:hAnsi="BookAntiqua" w:cs="BookAntiqua"/>
          <w:sz w:val="48"/>
          <w:szCs w:val="48"/>
        </w:rPr>
        <w:lastRenderedPageBreak/>
        <w:t>TEKSTUALNI DIO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-Bold" w:hAnsi="BookAntiqua-Bold" w:cs="BookAntiqua-Bold"/>
          <w:b/>
          <w:bCs/>
          <w:sz w:val="28"/>
          <w:szCs w:val="28"/>
        </w:rPr>
      </w:pPr>
      <w:r>
        <w:rPr>
          <w:rFonts w:ascii="BookAntiqua-Bold" w:hAnsi="BookAntiqua-Bold" w:cs="BookAntiqua-Bold"/>
          <w:b/>
          <w:bCs/>
          <w:sz w:val="28"/>
          <w:szCs w:val="28"/>
        </w:rPr>
        <w:t>1. OSNOV ZA IZRADU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Izradi Programa privremenih objekata za područje opštine Bijelo Polje</w:t>
      </w:r>
      <w:r>
        <w:rPr>
          <w:rFonts w:ascii="Times New Roman" w:hAnsi="Times New Roman" w:cs="Times New Roman"/>
          <w:sz w:val="24"/>
          <w:szCs w:val="24"/>
        </w:rPr>
        <w:t>sa posebnim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osvrtomna ski centar Cmilja</w:t>
      </w:r>
      <w:r>
        <w:rPr>
          <w:rFonts w:ascii="Cambria" w:hAnsi="Cambria" w:cs="Cambria"/>
          <w:sz w:val="24"/>
          <w:szCs w:val="24"/>
        </w:rPr>
        <w:t>č</w:t>
      </w:r>
      <w:r>
        <w:rPr>
          <w:rFonts w:ascii="Times New Roman" w:hAnsi="Times New Roman" w:cs="Times New Roman"/>
          <w:sz w:val="24"/>
          <w:szCs w:val="24"/>
        </w:rPr>
        <w:t xml:space="preserve">a </w:t>
      </w:r>
      <w:r>
        <w:rPr>
          <w:rFonts w:ascii="BookAntiqua" w:hAnsi="BookAntiqua" w:cs="BookAntiqua"/>
          <w:sz w:val="24"/>
          <w:szCs w:val="24"/>
        </w:rPr>
        <w:t>pristupilo se na osnovu Projektnog zadatkaza izradu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Programa privremenih objekata, donijetog od strane Sekretarijata za stambenokomunalne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poslove i saobraćaj.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Pravni osnov za donošenje Programa privremenih objekata sadržan je u članu 116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Zakona o planiranju prostora i izgradnji objekata (“Službeni list CG”, br.64/17), kao i u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odredbama Pravilnika o bližim uslovima za postavljanje odnosno građenje privremenih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objekata, uređaja i opreme (“Sl. list CG”, br. 43/18).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Predmet Programa privremenih objekata su lokacije za njihovo postavljanje i osnovni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uslovioblikovanja, postavljanja i korišćenja na području ski centra Cmiljača.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Cilj izrade Programa je sagledavanje prostora za određivanje lokacija za postavljanje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privremenih objekata, uređaja i opreme u skladu sa važećom planskom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dokumentacijom, na području ski centraCmiljača.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Program sadrži: zone i smjernice sa urbanističkim uslovima za postavljanje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privremenihobjekata, kao i vrste, oblik i dimenzije privremenih objekata, a sve u skladu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sa navedenim Pravilnikom.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-Bold" w:hAnsi="BookAntiqua-Bold" w:cs="BookAntiqua-Bold"/>
          <w:b/>
          <w:bCs/>
          <w:sz w:val="28"/>
          <w:szCs w:val="28"/>
        </w:rPr>
      </w:pPr>
      <w:r>
        <w:rPr>
          <w:rFonts w:ascii="BookAntiqua-Bold" w:hAnsi="BookAntiqua-Bold" w:cs="BookAntiqua-Bold"/>
          <w:b/>
          <w:bCs/>
          <w:sz w:val="28"/>
          <w:szCs w:val="28"/>
        </w:rPr>
        <w:t>2. OPŠTE ODREDBE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Pravilnikom o bližim uslovima za postavljanje odnosno građenje privremenih objekata,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uređaja i opreme (u daljem tekstu: Pravilnik) propisani su bliži uslovi za vrstu objekata,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uređaja i opreme, čije se postavljanje odnosno građenje ne definiše planskim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dokumentom.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Programom privremenih objekata(u daljem tekstu: Program), obuhvaćena je teritorija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ski centra Cmiljača, koji je dio Prostorno urbanističkog plana opštine Bijelo Polje.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Program privremenih objekata sadrži tekstualni i grafički dio.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Grafički dio Programa sadrži detaljan prikaz lokacija na kojima se mogu postaviti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sviprivremeni objekti shodno Pravilniku sa urbanističkim uslovima i utvrđenom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namjenom, tipom i brojemobjekata, kao i vrstu, oblik i dimenzije istih.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Tekstualni dio sadrži opšte odredbe, zone i smjernice sa urbanističko – tehničkim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uslovima zasvaku vrstu objekta, opis i prikaz izgleda privremenih objekata saglasno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Pravilniku.</w:t>
      </w:r>
    </w:p>
    <w:p w:rsidR="00DB080A" w:rsidRDefault="00DB080A" w:rsidP="007159FD">
      <w:pPr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Vrijeme za koje se donosi Program privremenih objekata je 5 (pet) godina.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Lokacije za postavljanje privremenih objekata obuhvaćene su Prostornim planom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posebne namjene “Bjelasica i Komovi”.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Privremeni objekti mogu se postavljati do privođenja lokacije namjeni shodno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odgovarajućoj planskoj dokumentaciji.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U skladu sa Pravilnikom, privremeni objekti definisani su prema načinu na koji su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pričvrćeni za tlo, kao i prema namjeni za koju se postavljaju.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Ovim Programom dati su uslovi za postavljanje određenih tipova objekata na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teritorijiski centra Cmiljača u opštiniBijelo Polje.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U grafičkom dijelu Programa obrađenaje lokacija privremenih objekata na području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početne stanice žičare Ski centar Cmiljača, prema definisanim urbanističkim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parametrima, iz primjenu mjera zaštita životne sredine, smjernica iz planskih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lastRenderedPageBreak/>
        <w:t>dokumenata, kao i standarda i propisa za predviđenu vrstu djelatnosti.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Privremeni objekti se mogu postavljati pod uslovom da ne narušavaju osnovne i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pratećekomunalne funkcije, ne ugrožavaju javne površine, ne degradiraju prostor i ne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ugrožavaju životnu sredinu. Privremeni objekti moraju estetski, funkcionalno i tehnički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zadovoljiti, odnosno ispuniti sve uslove potrebne za obavljanje djelatnosti koje se u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smislu važećih propisa mogu vršiti u ovakvim objektima.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-Bold" w:hAnsi="BookAntiqua-Bold" w:cs="BookAntiqua-Bold"/>
          <w:b/>
          <w:bCs/>
          <w:sz w:val="28"/>
          <w:szCs w:val="28"/>
        </w:rPr>
      </w:pPr>
      <w:r>
        <w:rPr>
          <w:rFonts w:ascii="BookAntiqua-Bold" w:hAnsi="BookAntiqua-Bold" w:cs="BookAntiqua-Bold"/>
          <w:b/>
          <w:bCs/>
          <w:sz w:val="28"/>
          <w:szCs w:val="28"/>
        </w:rPr>
        <w:t>3. PROSTORNO ZONIRANJE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Za izradu Programa, potrebno je izvršiti zoniranje teritorija opštine Bijelo Polje prema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urbanističkim karakteristikama i infrastrukturnoj opremljenosti, pa je područje Ski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centra Cmiljača definisano kao :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-Bold" w:hAnsi="BookAntiqua-Bold" w:cs="BookAntiqua-Bold"/>
          <w:b/>
          <w:bCs/>
          <w:sz w:val="24"/>
          <w:szCs w:val="24"/>
        </w:rPr>
        <w:t xml:space="preserve">ZONA I: </w:t>
      </w:r>
      <w:r>
        <w:rPr>
          <w:rFonts w:ascii="BookAntiqua" w:hAnsi="BookAntiqua" w:cs="BookAntiqua"/>
          <w:sz w:val="24"/>
          <w:szCs w:val="24"/>
        </w:rPr>
        <w:t>Ski centar Cmiljača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Zahvata prostor okodonje stanice žičare na koti 1576,50mnv, a definisana je okvirno u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grafičkom dijelu programa.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-Bold" w:hAnsi="BookAntiqua-Bold" w:cs="BookAntiqua-Bold"/>
          <w:b/>
          <w:bCs/>
          <w:sz w:val="28"/>
          <w:szCs w:val="28"/>
        </w:rPr>
      </w:pPr>
      <w:r>
        <w:rPr>
          <w:rFonts w:ascii="BookAntiqua-Bold" w:hAnsi="BookAntiqua-Bold" w:cs="BookAntiqua-Bold"/>
          <w:b/>
          <w:bCs/>
          <w:sz w:val="28"/>
          <w:szCs w:val="28"/>
        </w:rPr>
        <w:t>4. ANALIZA STANJA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Analizom zahtjeva opštine Bijelo Polje, definisana je lokacija za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postavljanje privremenih objekata u zoni I ski centar Cmiljačakoji su od značaja za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razvoj turzma.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Izgradnja ski centra Cmiljača predviđena je Prostornim planom posebne namjene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“Bjelasica i Komovi”, ali za predmetno područje nije rađen planski dokument sa</w:t>
      </w:r>
      <w:r w:rsidRPr="00DB080A">
        <w:rPr>
          <w:rFonts w:ascii="BookAntiqua" w:hAnsi="BookAntiqua" w:cs="BookAntiqua"/>
          <w:sz w:val="24"/>
          <w:szCs w:val="24"/>
        </w:rPr>
        <w:t xml:space="preserve"> </w:t>
      </w:r>
      <w:r>
        <w:rPr>
          <w:rFonts w:ascii="BookAntiqua" w:hAnsi="BookAntiqua" w:cs="BookAntiqua"/>
          <w:sz w:val="24"/>
          <w:szCs w:val="24"/>
        </w:rPr>
        <w:t>detaljnom urbanističkom razradom. U toku je izrada projekata žičare i dalekovoda sa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kojim je izvršeno usaglašavanje ovog Programa.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Na terenu nema objekata visokogradnje. Do lokacije se dolazi postojećim zemljanim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putem.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Na osnovu podatatka Agencije za zaštitu prirode i životne sredine sakupljenih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terenskim obilaskom sjevemih padina Cmiljače 20.11.2017. godine konstatuje se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sljedeće: Na sjevemim ekspozicijama ispod Cmiljače, iznad 1100 metara nadmorske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visine b ukva j e p omiješana s a j elom i g radi b ukovo-jelovu šumsku zajednicu (Abieti-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Fagetum), koja je rasprostranjena na cijelom prostoru sjeveme padine ispod Cmiljače, u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visinskom rasponu od 1 100 do I 700 metara nadmorske visine. Na tom prostoru ova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šumska zajednica je dosta siromašna drvenastim vrstama. Od odraslih vrsta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dendroflore prisutna su pojedinačna stable javora (Acer platanoides), breza (Betula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pendula) i poneki žbun ljeske (Cotylus avelana). Od žbunja su prisutne i sljedeće vrste: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Rubus idaeus, Lonicera nłgra, Sotbus aucupana, Rhamnus fallax, idr., a od puzavica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Clematis vitalba. U pnzemnoj vegetaciji su prisutne sljedeće biljne vrste: Fragaria vesca,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jc w:val="both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Luzula silvatica, Melampyrum silvaticum, Cardamine bulbifera, Blechnum spicant,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ptetidium aqualinum, Asplenium frichomanes. Jela (Abies alba) na predmetnom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prostoru ima slabije podmlađivanje. Ova vrsta je dosta osjetljiva na nepovoljne ekološke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uslove, a naročito na jače prorede izazvane sječom šume i sl. U visinskoj zoni oko 1520 -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1580 metara nadmorske visine, u navedenoj šumskoj zajednici uz već pomenutu bukvu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i jelu, dok su uz makadamske /šumske puteve i na čistinama zastupljene su malina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(Rubus idaeus) i mukinja (Sorbus aucuparia).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Zona I ski centar Cmiljača nalazi se van administrativnih granica Nacionalnog parka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Biogradska Gora, ali je locirana u njegovoj neposrednoj blizini.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Za zonu I ski centar Cmiljača nijesu ustanovljeni posebni režimi, zone i mjere zaštite i</w:t>
      </w:r>
    </w:p>
    <w:p w:rsidR="00DB080A" w:rsidRDefault="00DB080A" w:rsidP="007159FD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korišćenja prirodnih resursa.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 w:rsidRPr="00DB080A">
        <w:rPr>
          <w:rFonts w:ascii="BookAntiqua" w:hAnsi="BookAntiqua" w:cs="BookAntiqua"/>
          <w:noProof/>
          <w:sz w:val="24"/>
          <w:szCs w:val="24"/>
        </w:rPr>
        <w:lastRenderedPageBreak/>
        <w:drawing>
          <wp:inline distT="0" distB="0" distL="0" distR="0">
            <wp:extent cx="2859694" cy="17907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694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080A">
        <w:rPr>
          <w:rFonts w:ascii="BookAntiqua" w:hAnsi="BookAntiqua" w:cs="BookAntiqua"/>
          <w:sz w:val="24"/>
          <w:szCs w:val="24"/>
        </w:rPr>
        <w:t xml:space="preserve"> </w:t>
      </w:r>
      <w:r w:rsidRPr="00DB080A">
        <w:rPr>
          <w:rFonts w:ascii="BookAntiqua" w:hAnsi="BookAntiqua" w:cs="BookAntiqua"/>
          <w:noProof/>
          <w:sz w:val="24"/>
          <w:szCs w:val="24"/>
        </w:rPr>
        <w:drawing>
          <wp:inline distT="0" distB="0" distL="0" distR="0">
            <wp:extent cx="2892435" cy="1800225"/>
            <wp:effectExtent l="0" t="0" r="317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43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080A" w:rsidRDefault="00DB080A" w:rsidP="00DB080A">
      <w:pPr>
        <w:jc w:val="center"/>
        <w:rPr>
          <w:rFonts w:ascii="BookAntiqua-Italic" w:hAnsi="BookAntiqua-Italic" w:cs="BookAntiqua-Italic"/>
          <w:i/>
          <w:iCs/>
          <w:sz w:val="24"/>
          <w:szCs w:val="24"/>
        </w:rPr>
      </w:pPr>
      <w:r>
        <w:rPr>
          <w:rFonts w:ascii="BookAntiqua-Italic" w:hAnsi="BookAntiqua-Italic" w:cs="BookAntiqua-Italic"/>
          <w:i/>
          <w:iCs/>
          <w:sz w:val="24"/>
          <w:szCs w:val="24"/>
        </w:rPr>
        <w:t>Fotodokumentacija sa lokacije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-Bold" w:hAnsi="BookAntiqua-Bold" w:cs="BookAntiqua-Bold"/>
          <w:b/>
          <w:bCs/>
          <w:sz w:val="28"/>
          <w:szCs w:val="28"/>
        </w:rPr>
      </w:pPr>
      <w:r>
        <w:rPr>
          <w:rFonts w:ascii="BookAntiqua-Bold" w:hAnsi="BookAntiqua-Bold" w:cs="BookAntiqua-Bold"/>
          <w:b/>
          <w:bCs/>
          <w:sz w:val="28"/>
          <w:szCs w:val="28"/>
        </w:rPr>
        <w:t>5. KATEGORIJE PRIVREMENIH OBJEKATA PREMA NAČINU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-Bold" w:hAnsi="BookAntiqua-Bold" w:cs="BookAntiqua-Bold"/>
          <w:b/>
          <w:bCs/>
          <w:sz w:val="28"/>
          <w:szCs w:val="28"/>
        </w:rPr>
      </w:pPr>
      <w:r>
        <w:rPr>
          <w:rFonts w:ascii="BookAntiqua-Bold" w:hAnsi="BookAntiqua-Bold" w:cs="BookAntiqua-Bold"/>
          <w:b/>
          <w:bCs/>
          <w:sz w:val="28"/>
          <w:szCs w:val="28"/>
        </w:rPr>
        <w:t>PRIČVRŠĆENJA ZA TLO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Pravilnikom su definisane vrste privremenih objekata koje se razlikuju po načinu na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koji supričvršćeni za tlo. Uzoni I: ski centar Cmiljača mogu se postavljati objekti koji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spadaju u sljedeće kategorije: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nepokretni privremeni objekti;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otvorene površine u funkciji privremenog objekta.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-BoldItalic" w:hAnsi="BookAntiqua-BoldItalic" w:cs="BookAntiqua-BoldItalic"/>
          <w:b/>
          <w:bCs/>
          <w:i/>
          <w:iCs/>
          <w:sz w:val="24"/>
          <w:szCs w:val="24"/>
        </w:rPr>
      </w:pPr>
      <w:r>
        <w:rPr>
          <w:rFonts w:ascii="BookAntiqua-BoldItalic" w:hAnsi="BookAntiqua-BoldItalic" w:cs="BookAntiqua-BoldItalic"/>
          <w:b/>
          <w:bCs/>
          <w:i/>
          <w:iCs/>
          <w:sz w:val="24"/>
          <w:szCs w:val="24"/>
        </w:rPr>
        <w:t>5.1. NEPOKRETNI PRIVREMENI OBJEKAT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Nepokretni privremeni objekat je objekat koji se zida ili izrađuje od trajnih materijala 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koji jetemeljima pričvršćen za tlo.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Bruto površina nepokretnog privremenog objekta određuje se u odnosu na namjenu za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koju sepostavlja, kao i u skladu sa ambijentalnim vrijednostima i prostornim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mogućnostima pojedinihlokacija.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Zelene, odnosno plažne pješčane površine, površine na području prirodnog 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kulturno</w:t>
      </w:r>
      <w:r>
        <w:rPr>
          <w:rFonts w:ascii="MS-PGothic" w:eastAsia="MS-PGothic" w:hAnsi="BookAntiqua-Bold" w:cs="MS-PGothic" w:hint="eastAsia"/>
          <w:sz w:val="24"/>
          <w:szCs w:val="24"/>
        </w:rPr>
        <w:t>‐</w:t>
      </w:r>
      <w:r>
        <w:rPr>
          <w:rFonts w:ascii="MS-PGothic" w:eastAsia="MS-PGothic" w:hAnsi="BookAntiqua-Bold" w:cs="MS-PGothic"/>
          <w:sz w:val="24"/>
          <w:szCs w:val="24"/>
        </w:rPr>
        <w:t xml:space="preserve"> </w:t>
      </w:r>
      <w:r>
        <w:rPr>
          <w:rFonts w:ascii="BookAntiqua" w:hAnsi="BookAntiqua" w:cs="BookAntiqua"/>
          <w:sz w:val="24"/>
          <w:szCs w:val="24"/>
        </w:rPr>
        <w:t>istorijskogpodručja i zaštićene okoline, starih gradova, kulturno</w:t>
      </w:r>
      <w:r>
        <w:rPr>
          <w:rFonts w:ascii="MS-PGothic" w:eastAsia="MS-PGothic" w:hAnsi="BookAntiqua-Bold" w:cs="MS-PGothic" w:hint="eastAsia"/>
          <w:sz w:val="24"/>
          <w:szCs w:val="24"/>
        </w:rPr>
        <w:t>‐</w:t>
      </w:r>
      <w:r>
        <w:rPr>
          <w:rFonts w:ascii="MS-PGothic" w:eastAsia="MS-PGothic" w:hAnsi="BookAntiqua-Bold" w:cs="MS-PGothic"/>
          <w:sz w:val="24"/>
          <w:szCs w:val="24"/>
        </w:rPr>
        <w:t xml:space="preserve"> </w:t>
      </w:r>
      <w:r>
        <w:rPr>
          <w:rFonts w:ascii="BookAntiqua" w:hAnsi="BookAntiqua" w:cs="BookAntiqua"/>
          <w:sz w:val="24"/>
          <w:szCs w:val="24"/>
        </w:rPr>
        <w:t>istorijskih 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ambijentalnih cjelina, kao i površine u neposrednoj blizini ili zaštićenoj okolini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nepokretnih kulturnih dobara ne mogu sebetonirati za potrebe postavljanja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nepokretnog privremenog objekta.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Tehničku dokumentaciju za postavljanje odnosno građenje nepokretnog privremenog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objekta činirevidovan glavni projekat.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-BoldItalic" w:hAnsi="BookAntiqua-BoldItalic" w:cs="BookAntiqua-BoldItalic"/>
          <w:b/>
          <w:bCs/>
          <w:i/>
          <w:iCs/>
          <w:sz w:val="24"/>
          <w:szCs w:val="24"/>
        </w:rPr>
      </w:pPr>
      <w:r>
        <w:rPr>
          <w:rFonts w:ascii="BookAntiqua-BoldItalic" w:hAnsi="BookAntiqua-BoldItalic" w:cs="BookAntiqua-BoldItalic"/>
          <w:b/>
          <w:bCs/>
          <w:i/>
          <w:iCs/>
          <w:sz w:val="24"/>
          <w:szCs w:val="24"/>
        </w:rPr>
        <w:t>5.2. OTVORENA POVRŠINA U FUNKCIJI PRIVREMENOG OBJEKTA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Otvorena površina u funkciji privremenog objekta je površina koja se koristi za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trgovačke, sportske i/ili komunalne sadržaje (pijace, tereni, bašte, parkinzi).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Otvorena površina može imati podni zastor (brodski pod na terasi, podloga sportskog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terena), koji ne može biti trajno pričvršćen za tlo. Tehničku dokumentaciju za otvorenu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površinu čini idejno rješenje odnosno revidovani glavni projekat za sadržaje za koje je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-Bold" w:hAnsi="BookAntiqua-Bold" w:cs="BookAntiqua-Bold"/>
          <w:b/>
          <w:bCs/>
          <w:sz w:val="28"/>
          <w:szCs w:val="28"/>
        </w:rPr>
      </w:pPr>
      <w:r>
        <w:rPr>
          <w:rFonts w:ascii="BookAntiqua" w:hAnsi="BookAntiqua" w:cs="BookAntiqua"/>
          <w:sz w:val="24"/>
          <w:szCs w:val="24"/>
        </w:rPr>
        <w:t>neophodna izrada Elaborata o procjeni uticaja na životnu sredinu.</w:t>
      </w:r>
      <w:r w:rsidRPr="00DB080A">
        <w:rPr>
          <w:rFonts w:ascii="BookAntiqua-Bold" w:hAnsi="BookAntiqua-Bold" w:cs="BookAntiqua-Bold"/>
          <w:b/>
          <w:bCs/>
          <w:sz w:val="28"/>
          <w:szCs w:val="28"/>
        </w:rPr>
        <w:t xml:space="preserve"> </w:t>
      </w:r>
      <w:r>
        <w:rPr>
          <w:rFonts w:ascii="BookAntiqua-Bold" w:hAnsi="BookAntiqua-Bold" w:cs="BookAntiqua-Bold"/>
          <w:b/>
          <w:bCs/>
          <w:sz w:val="28"/>
          <w:szCs w:val="28"/>
        </w:rPr>
        <w:t>6. VRSTE PRIVREMENIH OBJEKATA PREMA NAMJENI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Pravilnikom su definisane vrste privremenih objekata prema namjeni za koju se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postavljaju, odnosno grade. Uzoni I ski centar Cmiljača mogu se postavljati objekti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namjenjeni za: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turizam i ugostiteljstvo;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trgovinu i usluge;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sport i rekreacija;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lastRenderedPageBreak/>
        <w:t xml:space="preserve">• </w:t>
      </w:r>
      <w:r>
        <w:rPr>
          <w:rFonts w:ascii="BookAntiqua" w:hAnsi="BookAntiqua" w:cs="BookAntiqua"/>
          <w:sz w:val="24"/>
          <w:szCs w:val="24"/>
        </w:rPr>
        <w:t>komunalne usluge i infrastruktura.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-BoldItalic" w:hAnsi="BookAntiqua-BoldItalic" w:cs="BookAntiqua-BoldItalic"/>
          <w:b/>
          <w:bCs/>
          <w:i/>
          <w:iCs/>
          <w:sz w:val="24"/>
          <w:szCs w:val="24"/>
        </w:rPr>
      </w:pPr>
      <w:r>
        <w:rPr>
          <w:rFonts w:ascii="BookAntiqua-BoldItalic" w:hAnsi="BookAntiqua-BoldItalic" w:cs="BookAntiqua-BoldItalic"/>
          <w:b/>
          <w:bCs/>
          <w:i/>
          <w:iCs/>
          <w:sz w:val="24"/>
          <w:szCs w:val="24"/>
        </w:rPr>
        <w:t>6.1. PRIVREMENI OBJEKTI NAMJENJENI ZA TURIZAM I UGOSTITELJSTVO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Privremeni objekat namijenjen za ugostiteljstvo i privremeni objekat namijenjen za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turizam prema Pravilniku je objekat namijenjen za obavljanje ugostiteljske odnosno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turističke djelatnosti.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Od privremenih objekata namijenjenih za ugostiteljstvoi turizam uZoniI:Ski centar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Cmiljača predviđenje: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-BoldItalic" w:hAnsi="BookAntiqua-BoldItalic" w:cs="BookAntiqua-BoldItalic"/>
          <w:b/>
          <w:bCs/>
          <w:i/>
          <w:iCs/>
          <w:sz w:val="24"/>
          <w:szCs w:val="24"/>
        </w:rPr>
      </w:pPr>
      <w:r>
        <w:rPr>
          <w:rFonts w:ascii="BookAntiqua-BoldItalic" w:hAnsi="BookAntiqua-BoldItalic" w:cs="BookAntiqua-BoldItalic"/>
          <w:b/>
          <w:bCs/>
          <w:i/>
          <w:iCs/>
          <w:sz w:val="24"/>
          <w:szCs w:val="24"/>
        </w:rPr>
        <w:t>6.1.1. PRIVREMENI UGOSTITELJSKI OBJEKAT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Privremeni ugostiteljski objekat je prema Pravilniku objekat namijenjen za pružanje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ugostiteljskih usluga (kafe bar,restoran, slastičara, jednostavne ugostiteljske usluge).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Privremeni ugostiteljski objekat površine do 30 m² može biti isključivo montažnodemontažni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privremeni objekat, a preko 30 m² površine može biti i nepokretni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privremeni objekat.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Privremeni ugostiteljski objekat površine preko 30 m² može biti od trajnog materijala -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čelika pocinčanog i plastificiranog u boji, od inoksa, eloksiranog ili plastificiranog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aluminijuma, drveta, a svojim izgledom, oblikovanjem i bojom usklađen sa prostorom u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kojem se postavlja.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Struktura fasada i zidova privremenog ugostiteljskog objekta može biti od pocinčanih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bojenih limova, poliuretanskih panela, termopan stakla, fasadnih laminata ili fasadnih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ispuna sa kamenim ili drvenim oblogama.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Na prednjoj strani privremenog ugostiteljskog objekta, iznad prodajnog pulta može se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postaviti sklopiva ili fiksna konzolna tenda, maksimalne širine 1,5 m od ivice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ugostiteljskog objekta i minimalne visine 2,3 m računajući od kote trotoara.</w:t>
      </w:r>
    </w:p>
    <w:p w:rsidR="00DB080A" w:rsidRDefault="00DB080A" w:rsidP="00DB080A">
      <w:pPr>
        <w:jc w:val="center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Sastavni dio ugostiteljskog objekta može biti ugostiteljska terasa.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-BoldItalic" w:hAnsi="BookAntiqua-BoldItalic" w:cs="BookAntiqua-BoldItalic"/>
          <w:b/>
          <w:bCs/>
          <w:i/>
          <w:iCs/>
          <w:sz w:val="24"/>
          <w:szCs w:val="24"/>
        </w:rPr>
      </w:pPr>
      <w:r>
        <w:rPr>
          <w:rFonts w:ascii="BookAntiqua-BoldItalic" w:hAnsi="BookAntiqua-BoldItalic" w:cs="BookAntiqua-BoldItalic"/>
          <w:b/>
          <w:bCs/>
          <w:i/>
          <w:iCs/>
          <w:sz w:val="24"/>
          <w:szCs w:val="24"/>
        </w:rPr>
        <w:t>6.2. PRIVREMENI OBJEKTI NAMJENJENI ZA TRGOVINU I USLUGE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Privremeni objekat namijenjen za trgovinu i usluge prema Pravilniku je objekat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namijenjen za obavljanje djelatnosti trgovine odnosno usluga.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Od privremenih objekata namijenjenih za trgovinu i usluge u Zoni I: Ski centar Cmiljača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predviđen je: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6.2.1. OBJEKAT ZA TRGOVINU I USLUGE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Objekat za trgovinu i usluge je privremeni objekat namjenjen za pružanje trgovinskih 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drugih usluga.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Objekat za trgovinu i usluge površine do 150 m</w:t>
      </w:r>
      <w:r>
        <w:rPr>
          <w:rFonts w:ascii="BookAntiqua" w:hAnsi="BookAntiqua" w:cs="BookAntiqua"/>
          <w:sz w:val="16"/>
          <w:szCs w:val="16"/>
        </w:rPr>
        <w:t xml:space="preserve">2 </w:t>
      </w:r>
      <w:r>
        <w:rPr>
          <w:rFonts w:ascii="BookAntiqua" w:hAnsi="BookAntiqua" w:cs="BookAntiqua"/>
          <w:sz w:val="24"/>
          <w:szCs w:val="24"/>
        </w:rPr>
        <w:t>može biti montažno-demontažni, 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preko 150 m² površine može biti i nepokretni.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Objekat za trgovinu i usluge površine do 150 m² je od lakih kvalitetnih materijala,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proizveden od ovlašćenog proizvođača, montira se na gotovu podlogu (asfalt, beton,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kamene ploče, drvo), sa mogućnošću da se sa lokacije ukloni u cjelini ili u djelovima.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Objekat za trgovinu i usluge površine preko 150 m² može biti od trajnog materijala -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čelika pocinčanog i plastificiranog u boji, od inoksa ili od eloksiranog ili plastificiranog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aluminijuma, a svojim izgledom, oblikovanjem i bojom usklađen sa prostorom u kojem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se postavlja.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Struktura fasada i zidova objekta za trgovinu i usluge može biti od pocinčanih bojenih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limova, poliuretanskih panela, termopan stakla, fasadnih laminata ili fasadnih ispuna sa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kamenim ili drvenim oblogama.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-BoldItalic" w:hAnsi="BookAntiqua-BoldItalic" w:cs="BookAntiqua-BoldItalic"/>
          <w:b/>
          <w:bCs/>
          <w:i/>
          <w:iCs/>
          <w:sz w:val="24"/>
          <w:szCs w:val="24"/>
        </w:rPr>
      </w:pPr>
      <w:r>
        <w:rPr>
          <w:rFonts w:ascii="BookAntiqua-BoldItalic" w:hAnsi="BookAntiqua-BoldItalic" w:cs="BookAntiqua-BoldItalic"/>
          <w:b/>
          <w:bCs/>
          <w:i/>
          <w:iCs/>
          <w:sz w:val="24"/>
          <w:szCs w:val="24"/>
        </w:rPr>
        <w:t>6.3. PRIVREMENI OBJEKTI NAMJENJENI ZA SPORT I REKREACIJU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Privremeni objekat za sport i rekreacijuprema Pravilniku je objekat u kome se obavljaju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lastRenderedPageBreak/>
        <w:t>sportske i rekreativne aktivnosti.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Od privremenih objekata namijenjenih za sport i rekreacijuu zoni I ski centar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Cmiljačapredviđen je: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6.3.1. OBJEKAT ZA IZNAJMLJIVANJE SPORTSKO-REKREATIVNE OPREME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Objekat namijenjen za iznajmljivanje sportsko-rekreativne opreme je zatvoreni objekat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(kiosk, montažna kućica) ili otvoreni stalak (za bicikla) koji je izgrađen od lakih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kvalitetnih materijala, proizveden od ovlašćenog proizvođača, koji se montira na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gotovu podlogu (asfalt, beton, kamene ploče, drvo) i koji se može postaviti i ukloniti sa</w:t>
      </w:r>
    </w:p>
    <w:p w:rsidR="00DB080A" w:rsidRDefault="00DB080A" w:rsidP="00DB080A">
      <w:pPr>
        <w:jc w:val="center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lokacije u cjelini ili u djelovima.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Objekat namijenjen za iznajmljivanje sportsko-rekreativne može se koristiti i kao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spremište za sportsku opremu (kajaci, bicikla, čamci).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Objekat namijenjen za iznajmljivanje sportsko-rekreativne svojim izgledom,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oblikovanjem i bojom mora biti usklađen sa prostorom u kojem se postavlja i na njemu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se mogu postavljati reklamni naziv i logo.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Na prednjoj strani objekta, iznad prodajnog pulta može se postaviti sklopiva ili fiksna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konzolna tenda, maksimalne širine 1,5 m od ivice objekta i minimalne visine 2,3 m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računajući od kote trotoara.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Objekat namijenjen za iznajmljivanje sportsko-rekreativne može sadržati sanitarnu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prostoriju za potrebe zaposlenih.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-BoldItalic" w:hAnsi="BookAntiqua-BoldItalic" w:cs="BookAntiqua-BoldItalic"/>
          <w:b/>
          <w:bCs/>
          <w:i/>
          <w:iCs/>
          <w:sz w:val="24"/>
          <w:szCs w:val="24"/>
        </w:rPr>
      </w:pPr>
      <w:r>
        <w:rPr>
          <w:rFonts w:ascii="BookAntiqua-BoldItalic" w:hAnsi="BookAntiqua-BoldItalic" w:cs="BookAntiqua-BoldItalic"/>
          <w:b/>
          <w:bCs/>
          <w:i/>
          <w:iCs/>
          <w:sz w:val="24"/>
          <w:szCs w:val="24"/>
        </w:rPr>
        <w:t>6.4. PRIVREMENI OBJEKTI NAMJENJENI ZA KOMUNALNE USLUGE 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-BoldItalic" w:hAnsi="BookAntiqua-BoldItalic" w:cs="BookAntiqua-BoldItalic"/>
          <w:b/>
          <w:bCs/>
          <w:i/>
          <w:iCs/>
          <w:sz w:val="24"/>
          <w:szCs w:val="24"/>
        </w:rPr>
      </w:pPr>
      <w:r>
        <w:rPr>
          <w:rFonts w:ascii="BookAntiqua-BoldItalic" w:hAnsi="BookAntiqua-BoldItalic" w:cs="BookAntiqua-BoldItalic"/>
          <w:b/>
          <w:bCs/>
          <w:i/>
          <w:iCs/>
          <w:sz w:val="24"/>
          <w:szCs w:val="24"/>
        </w:rPr>
        <w:t>INFRASTRUKTURU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Privremeni objekat namijenjen za komunalne usluge i infrastrukturu je objekat koji je u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funkciji obavljanja komunalne djelatnosti.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Od privremenih objekata namijenjenih za za komunalne usluge i infrastrukturu uzoni 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ski centar Cmiljača predviđen je: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privremeno parkiralište;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bioprečišćivač;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fiksna radiokomunikaciona stanica;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spoljašnji (outdoor) kabinet za potrebe elektronskih komunikacionih usluga;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vazdušni vod za potrebe elektronskih komunikacionih usluga.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6.4.1. PRIVREMENO PARKIRALIŠTE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Privremeno parkiralište je otvorena površina u funkciji privremenog objekta koja se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formira na neuređenom zemljištu koje se u datim uslovima može prilagoditi parkiranju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vozila.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Za potrebe privremenog parkirališta može se prilagoditi i postojeća asfaltna ili betonska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površina.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Maksimalna površina privremenog parkirališta iznosi 5.000m² s tim da se na svakih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1.000m² privremenog parkinga obezbijedi najmanje 100m² ozelenjenih površina.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Na privremenom parkiralištu se moraju obezbijediti uslovi za nesmetano parkiranje</w:t>
      </w:r>
    </w:p>
    <w:p w:rsidR="00DB080A" w:rsidRDefault="00DB080A" w:rsidP="00DB080A">
      <w:pPr>
        <w:jc w:val="center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vozila.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U sklopu privremenog parkirališta teren se ne može betonirati niti vršiti njegova fizička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promjena, ali se može formirati podloga od šljunka srednje granulacije debljine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maksimalno 15cm.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Privremeno parkiralište je uređeno, ozelenjeno, dobro osvijetljeno i čuvano.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U okviru privremenog parkirališta može postojati montažno-demontažna prijemna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lastRenderedPageBreak/>
        <w:t>kućica (za naplatu karata) maksimalne kvadrature do 4m², kao i ulazna i izlazna rampa.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6.4.2. BIOPREČIŠĆIVAČ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Bioprečišćivač je privremeni objekat koji služi za tretman otpadnih voda i koji može biti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izveden kao tipski uređaj ili kao biljni sistem.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Bioprečišćivač koji se sastoji od tipskog uređaja postavlja se ukopavanjem u tlo.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Bioprečišćivač koji se izvodi kao biljni sistem sastoji se od vodonepropusnih folija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postavljenih u ravni terena ili ukopanih u tlo, ispunjenih suspstratom u kojima se sade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močvarne biljke.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6.4.3. FIKSNA RADIOKOMUNIKACIONA STANICA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Fiksna radiokomunikaciona stanica je nepokretni privremeni objekat koji je dio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elektronske komunikacione mreže.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Fiksna radiokomunikaciona stanica se sastoji od predajne i/ili prijemne radiostanice 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druge radio opreme (napajanje, baterije, mrežna oprema) smještene u odgovarajući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kabinet ili drugi objekat, kablova za povezivanje radio stanice i pripadajućeg antenskog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sistema i antenskog sistema.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Antenski sistem se montira na antenski stub metalne ili betonske konstrukcije,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pričvršćen za tlo ili drugi objekat čvrste gradnje odgovarajućim temeljima ili ankerima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ili na metalne antenske nosače pričvršćene za drugi objekat čvrste gradnje.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Dimenzije kabineta, antenskog sistema i antenskog stuba, odnosno antenskih nosača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određuju se u zavisnosti od uslova za optimalno funkcionisanje fiksne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radiokomunikacione stanice i uslova konkretne lokacije.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6.4.4.SPOLJAŠNJI (OUTDOOR) KABINET ZA POTREBE ELEKTRONSKIH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KOMUNIKACIONIH USLUGA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Spoljašnji (outdoor) kabinet je nepokretni privremeni objekat koji je dio elektronske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komunikacione mreže, a služi za poboljšanje pružanja elektronskih komunikacionih</w:t>
      </w:r>
    </w:p>
    <w:p w:rsidR="00DB080A" w:rsidRDefault="00DB080A" w:rsidP="00DB080A">
      <w:pPr>
        <w:jc w:val="center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usluga (fiksne telefonije, pristupa internetu i televizije).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Za postavljanje spoljašnjeg (outdoor) kabineta je potrebno betonsko postolje površine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3m² - 4m² sa pratećim uzemljenjem i razvodnim ormarom, a kabinet se sastoji od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metalne šasije, u kojem se nalazi prostor za mrežni dio opreme (pasiva i aktiva),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ispravljači, baterije, opciono klima jedinica, kao i sva druga potrebna oprema (uvodnice,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osigurači).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Spoljašnji (outdoor) kabinet se povezuje na telekomunikacionu mrežu putem optike ili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preko radio-relejnog linka, a ako je povezivanje preko radio-relejnog linka potrebno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moguće je postaviti armirani betonski stub na kojem se montira radio-relejni link.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6.4.5. VAZDUŠNI VOD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Vazdušni vod je montažno-demontažni privremeni objekat koji je dio elektronske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komunikacione mreže, a služi za poboljšanje pružanja elektronskih komunikacionih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usluga (fiksne telefonije, pristupa internetu i televizije).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Na stubovima ulične rasvjete i niskonaponske mreže se postavljaju vazdušni vodovi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(optički i koaksijalni kablovi), sa pratećom opremom (distributivni ormar).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-Bold" w:hAnsi="BookAntiqua-Bold" w:cs="BookAntiqua-Bold"/>
          <w:b/>
          <w:bCs/>
          <w:sz w:val="28"/>
          <w:szCs w:val="28"/>
        </w:rPr>
      </w:pPr>
      <w:r>
        <w:rPr>
          <w:rFonts w:ascii="BookAntiqua-Bold" w:hAnsi="BookAntiqua-Bold" w:cs="BookAntiqua-Bold"/>
          <w:b/>
          <w:bCs/>
          <w:sz w:val="28"/>
          <w:szCs w:val="28"/>
        </w:rPr>
        <w:t>7. SMJERNICE ZA ZAŠTITU PRIRODE I ŽIVOTNE SREDINE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Sistem zaštite na području zone I ski centar Cmiljača treba da bude cjelovit, odnosno, da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objedini mjere očuvanja predjela (ekološkog i oblikovnog), održavanja autohtonog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ambijenta, zaštitu od elementarnih nepogoda, kao i preduslove za uspešno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organizovanje zaštite korisnika. Navedene mjere ne treba da se ograniče na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uspostavljanje zabrana, već da budu takve prirode da korisnici neposredno učestvuju u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lastRenderedPageBreak/>
        <w:t>njihovom sprovođenju.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Koncept zaštite prirode zasnovan je na primjeni modela održivog razvoja, koji je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usklađen sa lokalnim uslovima i zasnovan na novim karakteristikama prostora. Rrazvoj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mora biti kompatibilan sa ekološkim karakteristikama prostora i mora ih uvažavati, sa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ciljem očuvanja kvaliteta prirode i životne stredine.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Ovaj prostor čini privlačnim njegova izvorna prirodna sredina. Iz tog razloga pri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realizaciji svih sadržaja treba težiti postizanju balansa između očuvanja postojećih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vrijednosti i razvoja uglavnom neiskorišćenih potencijala.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Mjere zaštite odnose se na očuvanje prirodnog ekosistema i definisane su na osnovu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analize stanja prirodne sredine i prihvatnog kapaciteta razmatranog područja.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Izbor mikro lokacija privremenih građevinskih objekata (bazna stanica, privremeno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parkiralište i bioprečišćivač) i njihov prostomi raspored, izvršen je vodeći računa o</w:t>
      </w:r>
      <w:r w:rsidRPr="00DB080A">
        <w:rPr>
          <w:rFonts w:ascii="BookAntiqua" w:hAnsi="BookAntiqua" w:cs="BookAntiqua"/>
          <w:sz w:val="24"/>
          <w:szCs w:val="24"/>
        </w:rPr>
        <w:t xml:space="preserve"> </w:t>
      </w:r>
      <w:r>
        <w:rPr>
          <w:rFonts w:ascii="BookAntiqua" w:hAnsi="BookAntiqua" w:cs="BookAntiqua"/>
          <w:sz w:val="24"/>
          <w:szCs w:val="24"/>
        </w:rPr>
        <w:t>prirodnim obilježjima i vrijednostima (prirodnim oblicima) šumske zone u kojoj je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trebalo izvršiti izbor mikrolokacija i prostornom integritetu same šumske zajednice koja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je ekološki značajan tip staništa. Mikrolokacije novih (privremenih) građevinskih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objekta su ograničene na užu zonu pored postojećeg puta, bez širenja njihove u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prirodno neizmijenjenu šumsku zonu. Da bi se prostor racionalno koristio, odnosno da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bi za izgradnju bila angažovana minimalno moguća površina u odnosu na tražene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sadržaje, izvršeno je grupisanje svih sadržaja u jednom objektu, a drugi objekti istih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namjena nijesu predviđeni.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Smanjenje nepovoljnih uticaja na prirodnu sredinu sprovešće se uz primjenu tehničkih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mjera koje se odnose prilagođavanje tehnoloških procesa izgradnje i korišćenja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zahtjevima zaštite prirode: izvođenja građevinskih projekata i postrojenja, instalisanje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uređaja i opreme, a naročitoi one za prečišćavanje otpadnih voda, izvođenje drugih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vrsta radova, kao i propisno održavanje i upravljanje izvedenim objektima i uređajima.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Koncept zaštite prirode i životne sredine na području zone I ski centar Cmiljača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obuhvata: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Zaštitu prirode i životne sredine na bazi racionalnog korišćenja prirodnih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resursa: prije svega šumskog potencijala, ali i vode, vazduha, zemljišta, biljnih 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životinjskih vrsta i pejzaža.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Ograničavanje aktivnosti sa negativnim uticajima na kvalitet prirode i životne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sredine;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Obezbjeđivanje zadovoljavajućih komunalno - higijenskih uslova (obezbjeđenje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pitke vode, adekvatno prečišćavanje i kanalisanje komunalnih otpadnih voda);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Uspostavljanje sistema procjene uticaja budućih objekata i djelatnosti na životnu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sredinu, koje svojim aktivnostima mogu izazvati negativne uticaje na postojeće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elemente prirode i životne sredine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Permanentno praćenje kvaliteta prirode i životne sredine (voda, vazduh,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zemljište, nivo buke, jonizujuća i nejonizujuća zračenja) i kontrola i ocjena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rezultata.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Sprječavanje neodrživog i nekontrolisanog korišćenja prirodnih šumskih resursa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koje uzrokuje: sječa prirodnih šuma, sakupljanje jestivog i lekovitog bilja, gljiva 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drugih organizama i lov divljači.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Zaštita će se sprovoditi primjenom mjera zaštite životne sredine, pravilima izgradnje 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uređenja koja su data ovim programom kao i u skladu sa zakonima i propisima iz ove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oblasti.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lastRenderedPageBreak/>
        <w:t>Očuvanje kvaliteta vazduha na ovom području ostvariti izborom adekvatnog</w:t>
      </w:r>
    </w:p>
    <w:p w:rsidR="00DB080A" w:rsidRDefault="00DB080A" w:rsidP="00DB080A">
      <w:pPr>
        <w:jc w:val="center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energetskog goriva.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Zaštita voda od zagađivanja ostvariti organizacijom kontrole kvaliteta vode 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prečišćavanjem otpadnih voda na mjestu nastajanja, primjenom tehničko-tehnoloških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mjera.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Očuvanje i zaštita šumskog zemljišta sprovodiće se kroz: priritetnu aktivnost na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sprovođenje rekultivacije degradiranog zemljišta u zonama izvršene sječe i uz puteve;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kontrolisanom sječom autohtonih šumskih sastojina; određivanjem granica područja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privremenih objekata kako bi se sprečila nekontrolisana gradnja.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Mjere upravljana otpadom sprovoditi od mjesta nastajanja selektivnim odlaganjem,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prikupljanjem i evakuacijum u skladu sa propisima.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Građevinski otpad takođe sakupljati i evakuisati odvojeno, izdvajajući naročito opasni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građevinski otpad.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Zaštitu od buke u životnoj sredini zasnivati na poštovanju graničnih vrijednosti nivoa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buke u skladu sa pravilnikom o graničnim vrijednostima nivoa buke u životnoj sredini.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Mjerama za spriječavane i zaštitu od elementarnih nepogoda (zemljotresa, atmosferskih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nepogoda - olujni vjetrovi, odronjavanja i klizanja zemljišta, suše, požara i eksplozija,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saobraćajnih i drugih nezgoda) obuhvatiti preventivne mjere kojima se sprečavaju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nepogode ili ublažava njihovo dejstvo, mjere koje se podrazumjevaju u slučaju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neposredne opasnosti od elementarne nepogode, mjere zaštite kada nastupe nepogode,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kao i mjere ublažavanja i otklanjanja neposrednih posledica nastalih dejstvom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nepogoda.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Mjere zaštite od požara i eksplozija sprovoditi: poštovanjem propisanih udaljenja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između objekata različitih namjena (dalekovod, žičara, bazna stanica); izgradnjom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saobraćajnica propisane širine tako da omoguće prolaz vatrogasnim vozilima do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objekata, manevrisanje vatrogasnih vozila, kao i nesmetani saobraćajni tok; izgradnjom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hidrantske mreže sa pravilnim rasporedom nadzemnih hidranata; uključivanjem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šumskih površina sa područja ovog programa u izradu planova zaštite od požara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Nacionalnog parka „Biogradska Gora“ koji se nalazi u neposrednoj blizini; prilikom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izrade investiciono-tehničke dokumentacije obavezno izraditi projekte ili elaborate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zaštite od požara i eksplozija (ako se radi o objektima u kojima se definišu zone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opasnosti od požara i eksplozija), planovi zaštite i spasavanja prema izrađenoj procjeni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ugroženosti za svaki hazard posebno te na navedeno pribaviti odgovarajuća mišljenja 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saglasnosti u skladu sa zakonom;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Zaštitu od zemljotresa sprovoditi primjenom građevinskih i tehničkih mjera u skladu sa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uslovima aseizmičke gradnje: primenjivati adekvatne mjere za obezbjeđenje stabilnosti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terena (padine) i susjednih objekata; pri izradi tehničke dokumentacije obavezna je</w:t>
      </w:r>
    </w:p>
    <w:p w:rsidR="00DB080A" w:rsidRDefault="00DB080A" w:rsidP="00DB080A">
      <w:pPr>
        <w:jc w:val="center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izrada geomehaničkog elaborata u skladu sa propisima.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U okviru raspoloživih mehanizama za zaštitu životne sredine koji se koriste prilikom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sprovođenja programa, odnosno izgradnje objekata, kao obavezne, treba da se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sprovode mjere iz važećih zakonskih propisa, prvenstveno: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Zakon o zaštiti prirode („Sl. list CG“, br. 54/16);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Zakon o životnoj sredini („Sl. list CG“, br. 52/16);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Zakon o procjeni uticaja na životnu sredinu („Sl. list RCG“, br. 80/05 i „Sl. list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CG“, br. 40/10, 73/10, 40/11, 27/13, 52/16);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lastRenderedPageBreak/>
        <w:t xml:space="preserve">• </w:t>
      </w:r>
      <w:r>
        <w:rPr>
          <w:rFonts w:ascii="BookAntiqua" w:hAnsi="BookAntiqua" w:cs="BookAntiqua"/>
          <w:sz w:val="24"/>
          <w:szCs w:val="24"/>
        </w:rPr>
        <w:t>Zakon o vodama („Sl. list CG” br. 27/07, 22/11, 32/11, 47/11, 48/15, 52/16,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55/16 i 2/17);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Zakon o zaštiti vazduha („Sl. list CG” br. 25/10 i 43/15);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Zakon o upravljanju otpadom („Sl. list CG” br. 64/11 i 39/16);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Zakon o zaštiti buke u životnoj sredini („Sl. list CG“, br. 28/11, 1/14);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Zakon o integrisanom sprečavanju i kontroli zagađivanja životne sredine („Sl.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list RCG” br. 80/05 i „Sl. list CG” br. 54/09, 40/11, 42/15 i 54/16);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Zakon o komunalnim djelatnostima („Sl. list CG” br. 55/16 i 74/16);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Zakon o zaštiti i spašavanju („Sl. list CG” br. 13/07, 05/08, 86/09, 32/11 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54/16);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Zakon o zaštiti zdravlja na radu („Sl. list CG” br. 34/14);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Zakon o prevozu opasnih materija („Sl. list CG” br. 33/14).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Prilikom izrade tehničke dokumentacije poštovati Uredbu o projektima za koje se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vršiprocjena uticaja zahvata na životnu sredinu („Sl. list RCG“, br. 20/07, „Sl. list CG“,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br. 47/13 i 53/14).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-Bold" w:hAnsi="BookAntiqua-Bold" w:cs="BookAntiqua-Bold"/>
          <w:b/>
          <w:bCs/>
          <w:sz w:val="28"/>
          <w:szCs w:val="28"/>
        </w:rPr>
      </w:pPr>
      <w:r>
        <w:rPr>
          <w:rFonts w:ascii="BookAntiqua-Bold" w:hAnsi="BookAntiqua-Bold" w:cs="BookAntiqua-Bold"/>
          <w:b/>
          <w:bCs/>
          <w:sz w:val="28"/>
          <w:szCs w:val="28"/>
        </w:rPr>
        <w:t xml:space="preserve">8. URBANISTIČKO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r>
        <w:rPr>
          <w:rFonts w:ascii="BookAntiqua-Bold" w:hAnsi="BookAntiqua-Bold" w:cs="BookAntiqua-Bold"/>
          <w:b/>
          <w:bCs/>
          <w:sz w:val="28"/>
          <w:szCs w:val="28"/>
        </w:rPr>
        <w:t>TEHNIČKI USLOVI ZA POSTAVLJANJE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-Bold" w:hAnsi="BookAntiqua-Bold" w:cs="BookAntiqua-Bold"/>
          <w:b/>
          <w:bCs/>
          <w:sz w:val="28"/>
          <w:szCs w:val="28"/>
        </w:rPr>
      </w:pPr>
      <w:r>
        <w:rPr>
          <w:rFonts w:ascii="BookAntiqua-Bold" w:hAnsi="BookAntiqua-Bold" w:cs="BookAntiqua-Bold"/>
          <w:b/>
          <w:bCs/>
          <w:sz w:val="28"/>
          <w:szCs w:val="28"/>
        </w:rPr>
        <w:t>PRIVREMENIH OBJEKATA U ZONI I, SKI CENTAR CMILJAČA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Predviđeni objekti: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privremeni objekat u kome će biti prostor za ugostiteljstvo, trgovinu i usluge,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prostor za za iznajmljivanje sportsko - rekreativne opreme, sanitarne i druge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prateće prostorije;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privremeno parkiralište 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bioprečišćivač.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Lokacija: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U neposrednoj blizini donje stanice žičare na koti 1576,50mnv, u okviru zone za</w:t>
      </w:r>
    </w:p>
    <w:p w:rsidR="00DB080A" w:rsidRDefault="00DB080A" w:rsidP="00DB080A">
      <w:pPr>
        <w:jc w:val="center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postavljanje privremenih objekata predložene u grafičkom dijelu Programa.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Način pričvršćenja za tlo: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nepokretni privremeni objekti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Dimenzije objekta: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horizontalni gabarit - oko 600m²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vertikalni gabarit P+1, uz mogućnost korišćenja galerije ispod kosog krova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Oblikovanje: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u skladu sa ambijentalnim i klimatskim karakteristikama područja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Matrijali: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trajni, čelik, pocinčani i plastificirani u boji, inoks, eloksirani ili plastificirani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aluminijum, drvo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Fasade: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pocinčani bojeni limovi, poliuretanski paneli, termopan staklo, fasadni laminati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ili fasadne ispune sa kamenim ili drvenim oblogama.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Broj parking mjesta: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u skladu sa Pravilnikom o bližem sadržaju i formi planskog dokumenta,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kriterijumima namjene površina, elementima urbanističke regulacije 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jedinstvenim grafičkim simbolima (“Sl. ListCG”, br. 24/10 i 33/14)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Maksimalna površina privremenog parkirališta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oko 6.000 m²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lastRenderedPageBreak/>
        <w:t>Način izrade privremenog parkirališta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od šljunka srednje granulacije debljine maksimalno 15 cm, može se postavitii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montažno - demontažna prijemna kućica (za naplatu karata), kao i ulazna 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izlazna rampa, obavještenje o vremenu i visini naknade za parkiranje vozila.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Posebni uslovi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Objekti se moraju graditi i rekonstruisati u skladu sa Pravilnikom o blizim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uslovima i načinu prilagodavanja objekata za pristup i kretanje lica smanjene</w:t>
      </w:r>
    </w:p>
    <w:p w:rsidR="00DB080A" w:rsidRDefault="00DB080A" w:rsidP="00DB080A">
      <w:pPr>
        <w:jc w:val="center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pokretljivosti i lica sa invaliditetom (,,Sluzbeni list Crne Gore", br.48/13 i 44/15).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Bioprečišćivač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Za tretman otpadnih voda koristiti tipski uređaj postavljen ukopavanjem u tlo u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blizini objekta bazne stanice;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Kapacitet uređaja koji odgovara broju korisnika;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Kvalitet prečišćene vode u skladu sa kvalitetom voda recipijenta.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Drugi privremeni objekti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nije moguće postavljanje, drugih privremenih objekata osim onih u funkciji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ugostiteljsko gobjekta, privremenog parkirališta i bioprečišćivača.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Tehnička dokumentacija: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revidovani glavni projekat za privremeni ugostitljski objekat i privremeno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parkiralište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za bioprečišćivač tipski projekat, atest proizvođača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procjena uticaja zahvata na životnu sredinu u skladu sa Uredbom o projektima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za koje sevrši („Sl. list RCG“, br. 20/07, „Sl. list CG“)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Napomena: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položaj i veličina lokacije i objekta dati u grafičkom dijelu Programa su orjentacioni,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precizno će se odrediti glavnim projektom, u skladu sa propisima i standardima po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vrstama objekata.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-Bold" w:hAnsi="BookAntiqua-Bold" w:cs="BookAntiqua-Bold"/>
          <w:b/>
          <w:bCs/>
          <w:sz w:val="28"/>
          <w:szCs w:val="28"/>
        </w:rPr>
      </w:pPr>
      <w:r>
        <w:rPr>
          <w:rFonts w:ascii="BookAntiqua-Bold" w:hAnsi="BookAntiqua-Bold" w:cs="BookAntiqua-Bold"/>
          <w:b/>
          <w:bCs/>
          <w:sz w:val="28"/>
          <w:szCs w:val="28"/>
        </w:rPr>
        <w:t>9. URBANISTIČKO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r>
        <w:rPr>
          <w:rFonts w:ascii="BookAntiqua-Bold" w:hAnsi="BookAntiqua-Bold" w:cs="BookAntiqua-Bold"/>
          <w:b/>
          <w:bCs/>
          <w:sz w:val="28"/>
          <w:szCs w:val="28"/>
        </w:rPr>
        <w:t>TEHNIČKI USLOVI ZA POSTAVLJANJE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-Bold" w:hAnsi="BookAntiqua-Bold" w:cs="BookAntiqua-Bold"/>
          <w:b/>
          <w:bCs/>
          <w:sz w:val="28"/>
          <w:szCs w:val="28"/>
        </w:rPr>
      </w:pPr>
      <w:r>
        <w:rPr>
          <w:rFonts w:ascii="BookAntiqua-Bold" w:hAnsi="BookAntiqua-Bold" w:cs="BookAntiqua-Bold"/>
          <w:b/>
          <w:bCs/>
          <w:sz w:val="28"/>
          <w:szCs w:val="28"/>
        </w:rPr>
        <w:t>PRIVREMENIH OBJEKATA U ŠIROJ ZONI I, SKI CENTAR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-Bold" w:hAnsi="BookAntiqua-Bold" w:cs="BookAntiqua-Bold"/>
          <w:b/>
          <w:bCs/>
          <w:sz w:val="28"/>
          <w:szCs w:val="28"/>
        </w:rPr>
      </w:pPr>
      <w:r>
        <w:rPr>
          <w:rFonts w:ascii="BookAntiqua-Bold" w:hAnsi="BookAntiqua-Bold" w:cs="BookAntiqua-Bold"/>
          <w:b/>
          <w:bCs/>
          <w:sz w:val="28"/>
          <w:szCs w:val="28"/>
        </w:rPr>
        <w:t>CMILJAČA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-Bold" w:hAnsi="BookAntiqua-Bold" w:cs="BookAntiqua-Bold"/>
          <w:b/>
          <w:bCs/>
          <w:sz w:val="24"/>
          <w:szCs w:val="24"/>
        </w:rPr>
      </w:pPr>
      <w:r>
        <w:rPr>
          <w:rFonts w:ascii="BookAntiqua-Bold" w:hAnsi="BookAntiqua-Bold" w:cs="BookAntiqua-Bold"/>
          <w:b/>
          <w:bCs/>
          <w:sz w:val="24"/>
          <w:szCs w:val="24"/>
        </w:rPr>
        <w:t>Objekat: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fiksna radiokomunikaciona stanica;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Namjena objekta: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elektronska komunikaciona infrastruktura;</w:t>
      </w:r>
    </w:p>
    <w:p w:rsidR="00DB080A" w:rsidRDefault="00DB080A" w:rsidP="00DB080A">
      <w:pPr>
        <w:jc w:val="center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Lokacija: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U široj zoni ski centra Smiljača (a mogu se postavljati iu drugim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djelovimaopštine Bijelo Polje).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Načinu pričvršćenja za tlo: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nepokretni privremeni objekat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Dimenzije objekta: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u zavisnosti od uslova za optimalno funkcionisanje fiksne radiokomunikacione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stanice i uslova konkretne lokacije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Matrijali i oprema: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predajna i/ili prijemna radiostanica i druga radio opreme (napajanje, baterije,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mrežna oprema) smještene u odgovarajući kabinet ili drugi objekat, kablovi za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povezivanje radio stanice i pripadajućeg antenskog sistema i antenskog sistema.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lastRenderedPageBreak/>
        <w:t xml:space="preserve">• </w:t>
      </w:r>
      <w:r>
        <w:rPr>
          <w:rFonts w:ascii="BookAntiqua" w:hAnsi="BookAntiqua" w:cs="BookAntiqua"/>
          <w:sz w:val="24"/>
          <w:szCs w:val="24"/>
        </w:rPr>
        <w:t>antenski stub metalne ili betonske konstrukcije, pričvršćen za tlo ili drugi objekat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čvrste gradnje odgovarajućim temeljima ili ankerima ili na metalne antenske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nosače pričvršćene za drugi objekat čvrste gradnje.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Tehnička dokumentacija: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revidovani glavni projekat, tipski projekat, atest proizvođača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procjena uticaja zahvata na životnu sredinu u skladu sa Uredbom o projektima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za koje sevrši („Sl. list RCG“, br. 20/07, „Sl. list CG“)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-Bold" w:hAnsi="BookAntiqua-Bold" w:cs="BookAntiqua-Bold"/>
          <w:b/>
          <w:bCs/>
          <w:sz w:val="24"/>
          <w:szCs w:val="24"/>
        </w:rPr>
      </w:pPr>
      <w:r>
        <w:rPr>
          <w:rFonts w:ascii="BookAntiqua-Bold" w:hAnsi="BookAntiqua-Bold" w:cs="BookAntiqua-Bold"/>
          <w:b/>
          <w:bCs/>
          <w:sz w:val="24"/>
          <w:szCs w:val="24"/>
        </w:rPr>
        <w:t>Objekat: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spoljašnji (outdoor) kabinet za potrebe elektronskih komunikacionih usluga;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Namjena objekta: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elektronska komunikaciona infrastruktura;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Funkcija objekta: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za poboljšanje pružanja elektronskih komunikacionih usluga (fiksne telefonije,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pristupa internetu i televizije).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Načinu pričvršćenja za tlo:</w:t>
      </w:r>
      <w:r w:rsidRPr="00DB080A">
        <w:rPr>
          <w:rFonts w:ascii="SymbolMT" w:hAnsi="SymbolMT" w:cs="SymbolMT"/>
          <w:sz w:val="24"/>
          <w:szCs w:val="24"/>
        </w:rPr>
        <w:t xml:space="preserve"> </w:t>
      </w: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nepokretni privremeni objekat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Dimenzije objekta: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u zavisnosti od uslova za optimalno funkcionisanje fiksne radiokomunikacione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stanice i uslova konkretne lokacije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Matrijali i oprema: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betonsko postolje površine 3 m² - 4 m² sa pratećim uzemljenjem i razvodnim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ormarom,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kabinet o d m etalne š asije, u k ojem s e n alazi p rostor z a m režni d io o preme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(pasiva i aktiva), ispravljači, baterije, opciono klima jedinica, kao i sva druga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potrebna oprema (uvodnice, osigurači),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povezivanje na telekomunikacionu mrežu putem optike ili preko radio-relejnog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linka,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za povezivanje preko radio-relejnog linka moguće je postaviti armirani betonski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stub na kojem se montira radio-relejni link.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Tehnička dokumentacija: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revidovani glavni projekat, tipski projekat, atest proizvođača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procjena uticaja zahvata na životnu sredinu u skladu sa Uredbom o projektima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za koje sevrši („Sl. list RCG“, br. 20/07, „Sl. list CG“).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-Bold" w:hAnsi="BookAntiqua-Bold" w:cs="BookAntiqua-Bold"/>
          <w:b/>
          <w:bCs/>
          <w:sz w:val="24"/>
          <w:szCs w:val="24"/>
        </w:rPr>
      </w:pPr>
      <w:r>
        <w:rPr>
          <w:rFonts w:ascii="BookAntiqua-Bold" w:hAnsi="BookAntiqua-Bold" w:cs="BookAntiqua-Bold"/>
          <w:b/>
          <w:bCs/>
          <w:sz w:val="24"/>
          <w:szCs w:val="24"/>
        </w:rPr>
        <w:t>Objekat: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vazdušni vod za potrebe elektronskih komunikacionih usluga.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Namjena objekta: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elektronska komunikaciona infrastruktura;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Funkcija: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za poboljšanje pružanja elektronskih komunikacionih usluga (fiksne telefonije,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pristupa internetu i televizije).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Načinu pričvršćenja za tlo: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montažno - demontažni privremeni objekat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na stubovima ulične rasvjete i niskonaponske mreže</w:t>
      </w:r>
      <w:r w:rsidRPr="00DB080A">
        <w:rPr>
          <w:rFonts w:ascii="BookAntiqua" w:hAnsi="BookAntiqua" w:cs="BookAntiqua"/>
          <w:sz w:val="24"/>
          <w:szCs w:val="24"/>
        </w:rPr>
        <w:t xml:space="preserve"> </w:t>
      </w:r>
      <w:r>
        <w:rPr>
          <w:rFonts w:ascii="BookAntiqua" w:hAnsi="BookAntiqua" w:cs="BookAntiqua"/>
          <w:sz w:val="24"/>
          <w:szCs w:val="24"/>
        </w:rPr>
        <w:t>Matrijali i oprema: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vazdušni vodovi (optički i koaksijalni kablovi), sa pratećom opremom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(distributivni ormar).</w:t>
      </w:r>
    </w:p>
    <w:p w:rsidR="00DB080A" w:rsidRDefault="00DB080A" w:rsidP="00DB080A">
      <w:pPr>
        <w:autoSpaceDE w:val="0"/>
        <w:autoSpaceDN w:val="0"/>
        <w:adjustRightInd w:val="0"/>
        <w:spacing w:after="0" w:line="240" w:lineRule="auto"/>
        <w:rPr>
          <w:rFonts w:ascii="BookAntiqua" w:hAnsi="BookAntiqua" w:cs="BookAntiqua"/>
          <w:sz w:val="24"/>
          <w:szCs w:val="24"/>
        </w:rPr>
      </w:pPr>
      <w:r>
        <w:rPr>
          <w:rFonts w:ascii="BookAntiqua" w:hAnsi="BookAntiqua" w:cs="BookAntiqua"/>
          <w:sz w:val="24"/>
          <w:szCs w:val="24"/>
        </w:rPr>
        <w:t>Tehnička dokumentacija:</w:t>
      </w:r>
    </w:p>
    <w:p w:rsidR="00DB080A" w:rsidRDefault="00DB080A" w:rsidP="00DB080A">
      <w:pPr>
        <w:jc w:val="center"/>
        <w:rPr>
          <w:rFonts w:ascii="BookAntiqua" w:hAnsi="BookAntiqua" w:cs="BookAntiqua"/>
          <w:sz w:val="24"/>
          <w:szCs w:val="24"/>
        </w:rPr>
      </w:pPr>
      <w:r>
        <w:rPr>
          <w:rFonts w:ascii="SymbolMT" w:hAnsi="SymbolMT" w:cs="SymbolMT"/>
          <w:sz w:val="24"/>
          <w:szCs w:val="24"/>
        </w:rPr>
        <w:t xml:space="preserve">• </w:t>
      </w:r>
      <w:r>
        <w:rPr>
          <w:rFonts w:ascii="BookAntiqua" w:hAnsi="BookAntiqua" w:cs="BookAntiqua"/>
          <w:sz w:val="24"/>
          <w:szCs w:val="24"/>
        </w:rPr>
        <w:t>atesti proizvođača</w:t>
      </w:r>
    </w:p>
    <w:p w:rsidR="00DB080A" w:rsidRDefault="00DB080A" w:rsidP="00DB080A">
      <w:pPr>
        <w:jc w:val="center"/>
        <w:rPr>
          <w:rFonts w:ascii="BookAntiqua" w:hAnsi="BookAntiqua" w:cs="BookAntiqua"/>
          <w:sz w:val="48"/>
          <w:szCs w:val="48"/>
        </w:rPr>
      </w:pPr>
    </w:p>
    <w:p w:rsidR="00DB080A" w:rsidRDefault="00DB080A" w:rsidP="00DB080A">
      <w:pPr>
        <w:jc w:val="center"/>
        <w:rPr>
          <w:rFonts w:ascii="BookAntiqua" w:hAnsi="BookAntiqua" w:cs="BookAntiqua"/>
          <w:sz w:val="48"/>
          <w:szCs w:val="48"/>
        </w:rPr>
      </w:pPr>
    </w:p>
    <w:p w:rsidR="00DB080A" w:rsidRDefault="00DB080A" w:rsidP="00DB080A">
      <w:pPr>
        <w:jc w:val="center"/>
        <w:rPr>
          <w:rFonts w:ascii="BookAntiqua" w:hAnsi="BookAntiqua" w:cs="BookAntiqua"/>
          <w:sz w:val="48"/>
          <w:szCs w:val="48"/>
        </w:rPr>
      </w:pPr>
    </w:p>
    <w:p w:rsidR="00DB080A" w:rsidRDefault="00DB080A" w:rsidP="00DB080A">
      <w:pPr>
        <w:jc w:val="center"/>
        <w:rPr>
          <w:rFonts w:ascii="BookAntiqua" w:hAnsi="BookAntiqua" w:cs="BookAntiqua"/>
          <w:sz w:val="48"/>
          <w:szCs w:val="48"/>
        </w:rPr>
      </w:pPr>
    </w:p>
    <w:p w:rsidR="00DB080A" w:rsidRDefault="00DB080A" w:rsidP="00DB080A">
      <w:pPr>
        <w:jc w:val="center"/>
        <w:rPr>
          <w:rFonts w:ascii="BookAntiqua" w:hAnsi="BookAntiqua" w:cs="BookAntiqua"/>
          <w:sz w:val="48"/>
          <w:szCs w:val="48"/>
        </w:rPr>
      </w:pPr>
      <w:r>
        <w:rPr>
          <w:rFonts w:ascii="BookAntiqua" w:hAnsi="BookAntiqua" w:cs="BookAntiqua"/>
          <w:sz w:val="48"/>
          <w:szCs w:val="48"/>
        </w:rPr>
        <w:t>GRAFIČKI DIO</w:t>
      </w:r>
    </w:p>
    <w:p w:rsidR="00DB080A" w:rsidRDefault="00DB080A" w:rsidP="00DB080A">
      <w:pPr>
        <w:jc w:val="center"/>
        <w:rPr>
          <w:rFonts w:ascii="BookAntiqua" w:hAnsi="BookAntiqua" w:cs="BookAntiqua"/>
          <w:sz w:val="48"/>
          <w:szCs w:val="48"/>
        </w:rPr>
      </w:pPr>
      <w:r w:rsidRPr="00DB080A">
        <w:rPr>
          <w:rFonts w:ascii="BookAntiqua" w:hAnsi="BookAntiqua" w:cs="BookAntiqua"/>
          <w:noProof/>
          <w:sz w:val="48"/>
          <w:szCs w:val="48"/>
        </w:rPr>
        <w:drawing>
          <wp:inline distT="0" distB="0" distL="0" distR="0">
            <wp:extent cx="5943600" cy="3329543"/>
            <wp:effectExtent l="0" t="0" r="0" b="444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29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B080A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ookAntiqua-Bold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BookAntiqua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TimesNewRomanPS-BoldMT">
    <w:altName w:val="Times New Roman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BookAntiqua-Italic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ymbol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BookAntiqua-BoldItalic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S-PGothic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373C"/>
    <w:rsid w:val="000121B7"/>
    <w:rsid w:val="001175F4"/>
    <w:rsid w:val="0012370D"/>
    <w:rsid w:val="00192086"/>
    <w:rsid w:val="001C545F"/>
    <w:rsid w:val="00201C0B"/>
    <w:rsid w:val="00374115"/>
    <w:rsid w:val="0037631F"/>
    <w:rsid w:val="00413A9F"/>
    <w:rsid w:val="00420E63"/>
    <w:rsid w:val="004459A8"/>
    <w:rsid w:val="004C56E8"/>
    <w:rsid w:val="0053733C"/>
    <w:rsid w:val="00566304"/>
    <w:rsid w:val="006C2379"/>
    <w:rsid w:val="007159FD"/>
    <w:rsid w:val="007F1F5C"/>
    <w:rsid w:val="008311C4"/>
    <w:rsid w:val="00861450"/>
    <w:rsid w:val="008D373C"/>
    <w:rsid w:val="009E2735"/>
    <w:rsid w:val="00AE64CE"/>
    <w:rsid w:val="00B308E5"/>
    <w:rsid w:val="00B45EB1"/>
    <w:rsid w:val="00B94400"/>
    <w:rsid w:val="00C268E8"/>
    <w:rsid w:val="00CB5359"/>
    <w:rsid w:val="00D108B6"/>
    <w:rsid w:val="00D20BF6"/>
    <w:rsid w:val="00D62C06"/>
    <w:rsid w:val="00D66203"/>
    <w:rsid w:val="00DB080A"/>
    <w:rsid w:val="00DB7B40"/>
    <w:rsid w:val="00FA2B09"/>
    <w:rsid w:val="00FB6CDA"/>
    <w:rsid w:val="00FE2137"/>
    <w:rsid w:val="00FE3B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E28CD06-27E6-49A7-AFFD-AFC7759E89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D373C"/>
    <w:pPr>
      <w:spacing w:line="25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011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fontTable" Target="fontTable.xml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22</Pages>
  <Words>5112</Words>
  <Characters>29139</Characters>
  <Application>Microsoft Office Word</Application>
  <DocSecurity>0</DocSecurity>
  <Lines>242</Lines>
  <Paragraphs>68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34183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User2</cp:lastModifiedBy>
  <cp:revision>91</cp:revision>
  <dcterms:created xsi:type="dcterms:W3CDTF">2018-11-20T08:18:00Z</dcterms:created>
  <dcterms:modified xsi:type="dcterms:W3CDTF">2018-11-30T07:26:00Z</dcterms:modified>
</cp:coreProperties>
</file>